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F1BB" w14:textId="03560E3B" w:rsidR="00BD55BA" w:rsidRDefault="00BD55BA" w:rsidP="00F201BF">
      <w:pPr>
        <w:pStyle w:val="BodyText"/>
        <w:ind w:left="2750"/>
        <w:rPr>
          <w:sz w:val="20"/>
        </w:rPr>
      </w:pPr>
    </w:p>
    <w:p w14:paraId="1B8B19C2" w14:textId="0A3ED737" w:rsidR="0066052F" w:rsidRPr="002C5CEA" w:rsidRDefault="00BD55BA" w:rsidP="002C5CEA">
      <w:pPr>
        <w:pStyle w:val="BodyText"/>
        <w:spacing w:before="182"/>
        <w:jc w:val="center"/>
        <w:rPr>
          <w:b/>
          <w:bCs/>
          <w:sz w:val="32"/>
          <w:szCs w:val="32"/>
        </w:rPr>
      </w:pPr>
      <w:r w:rsidRPr="00BD55BA">
        <w:rPr>
          <w:b/>
          <w:bCs/>
          <w:sz w:val="32"/>
          <w:szCs w:val="32"/>
        </w:rPr>
        <w:t xml:space="preserve">SESCO’s Weekly Client Update </w:t>
      </w:r>
      <w:bookmarkStart w:id="0" w:name="_Hlk190347241"/>
      <w:bookmarkStart w:id="1" w:name="_Hlk190347013"/>
    </w:p>
    <w:p w14:paraId="699A2F58" w14:textId="172823D8" w:rsidR="008F5695" w:rsidRPr="00F201BF" w:rsidRDefault="008F5695" w:rsidP="008F5695">
      <w:pPr>
        <w:pStyle w:val="NormalWeb"/>
        <w:jc w:val="center"/>
        <w:rPr>
          <w:rFonts w:ascii="Times New Roman" w:hAnsi="Times New Roman" w:cs="Times New Roman"/>
          <w:b/>
          <w:bCs/>
          <w:caps/>
          <w:color w:val="000000"/>
        </w:rPr>
      </w:pPr>
      <w:bookmarkStart w:id="2" w:name="_Hlk211435070"/>
      <w:bookmarkEnd w:id="0"/>
      <w:bookmarkEnd w:id="1"/>
      <w:r w:rsidRPr="00072207">
        <w:rPr>
          <w:rFonts w:ascii="Times New Roman" w:hAnsi="Times New Roman" w:cs="Times New Roman"/>
          <w:b/>
          <w:bCs/>
          <w:caps/>
          <w:color w:val="000000"/>
          <w:sz w:val="26"/>
          <w:szCs w:val="26"/>
        </w:rPr>
        <w:t>NLRB</w:t>
      </w:r>
      <w:r>
        <w:rPr>
          <w:rFonts w:ascii="Times New Roman" w:hAnsi="Times New Roman" w:cs="Times New Roman"/>
          <w:b/>
          <w:bCs/>
          <w:caps/>
          <w:color w:val="000000"/>
          <w:sz w:val="26"/>
          <w:szCs w:val="26"/>
        </w:rPr>
        <w:t xml:space="preserve"> GC CALLS FOR LESS AGGRESSIVE ENFORCEMENT OF WORKPLACE </w:t>
      </w:r>
      <w:r w:rsidRPr="00F201BF">
        <w:rPr>
          <w:rFonts w:ascii="Times New Roman" w:hAnsi="Times New Roman" w:cs="Times New Roman"/>
          <w:b/>
          <w:bCs/>
          <w:caps/>
          <w:color w:val="000000"/>
        </w:rPr>
        <w:t xml:space="preserve">RULE VIOLATIONS </w:t>
      </w:r>
    </w:p>
    <w:p w14:paraId="490DF0EE" w14:textId="77777777" w:rsidR="008F5695" w:rsidRPr="00F201BF" w:rsidRDefault="008F5695" w:rsidP="00BB323C">
      <w:pPr>
        <w:widowControl/>
        <w:numPr>
          <w:ilvl w:val="0"/>
          <w:numId w:val="35"/>
        </w:numPr>
        <w:autoSpaceDE/>
        <w:autoSpaceDN/>
        <w:jc w:val="both"/>
        <w:rPr>
          <w:color w:val="000000"/>
        </w:rPr>
      </w:pPr>
      <w:r w:rsidRPr="00F201BF">
        <w:rPr>
          <w:color w:val="000000"/>
        </w:rPr>
        <w:t xml:space="preserve">National Labor Relations Board (NLRB) General Counsel (GC), Crystal Carey, has issued a new directive calling for less aggressive enforcement of workplace rule violations. The memorandum discourages the routine use of enhanced remedies (such as notice headings, apology letters, or nationwide postings) in settlement practice. </w:t>
      </w:r>
    </w:p>
    <w:p w14:paraId="68855C35" w14:textId="77777777" w:rsidR="008F5695" w:rsidRPr="00F201BF" w:rsidRDefault="008F5695" w:rsidP="008F5695">
      <w:pPr>
        <w:widowControl/>
        <w:autoSpaceDE/>
        <w:autoSpaceDN/>
        <w:ind w:left="720"/>
        <w:jc w:val="both"/>
        <w:rPr>
          <w:color w:val="000000"/>
        </w:rPr>
      </w:pPr>
    </w:p>
    <w:p w14:paraId="40DF7E59" w14:textId="3E435DF9" w:rsidR="008F5695" w:rsidRPr="00F201BF" w:rsidRDefault="008F5695" w:rsidP="0058445A">
      <w:pPr>
        <w:widowControl/>
        <w:numPr>
          <w:ilvl w:val="0"/>
          <w:numId w:val="35"/>
        </w:numPr>
        <w:autoSpaceDE/>
        <w:autoSpaceDN/>
        <w:jc w:val="both"/>
        <w:rPr>
          <w:color w:val="000000"/>
        </w:rPr>
      </w:pPr>
      <w:r w:rsidRPr="00F201BF">
        <w:rPr>
          <w:color w:val="000000"/>
        </w:rPr>
        <w:t xml:space="preserve">To that end, the memo directs NLRB regions to promptly seek settlement of pending cases based solely on the maintenance of potentially unlawful rules. In the memo, the GC noted such cases are </w:t>
      </w:r>
      <w:r w:rsidR="00F201BF" w:rsidRPr="00F201BF">
        <w:rPr>
          <w:color w:val="000000"/>
        </w:rPr>
        <w:t>inefficient</w:t>
      </w:r>
      <w:r w:rsidRPr="00F201BF">
        <w:rPr>
          <w:color w:val="000000"/>
        </w:rPr>
        <w:t xml:space="preserve"> use of NLRB resources where there has been no enforcement or actual impact on employees. </w:t>
      </w:r>
    </w:p>
    <w:p w14:paraId="58FEF01A" w14:textId="77777777" w:rsidR="008F5695" w:rsidRPr="00F201BF" w:rsidRDefault="008F5695" w:rsidP="008F5695">
      <w:pPr>
        <w:pStyle w:val="ListParagraph"/>
        <w:rPr>
          <w:color w:val="000000"/>
        </w:rPr>
      </w:pPr>
    </w:p>
    <w:p w14:paraId="268A8D2E" w14:textId="2DB97E70" w:rsidR="00850EBE" w:rsidRPr="00F201BF" w:rsidRDefault="008F5695" w:rsidP="00F201BF">
      <w:pPr>
        <w:widowControl/>
        <w:numPr>
          <w:ilvl w:val="0"/>
          <w:numId w:val="35"/>
        </w:numPr>
        <w:autoSpaceDE/>
        <w:autoSpaceDN/>
        <w:jc w:val="both"/>
        <w:rPr>
          <w:color w:val="000000"/>
        </w:rPr>
      </w:pPr>
      <w:r w:rsidRPr="00F201BF">
        <w:rPr>
          <w:color w:val="000000"/>
        </w:rPr>
        <w:t>The memo provides further guidance aimed at efficiency, such as requiring that charging parties submit supporting evidence within two weeks of filing a charge</w:t>
      </w:r>
      <w:r w:rsidR="009158A7">
        <w:rPr>
          <w:color w:val="000000"/>
        </w:rPr>
        <w:t>.</w:t>
      </w:r>
    </w:p>
    <w:p w14:paraId="5AF7F985" w14:textId="56C6F718" w:rsidR="003D40D1" w:rsidRDefault="003D40D1" w:rsidP="004C1A83">
      <w:pPr>
        <w:pStyle w:val="NormalWeb"/>
        <w:jc w:val="center"/>
        <w:rPr>
          <w:rFonts w:ascii="Times New Roman" w:hAnsi="Times New Roman" w:cs="Times New Roman"/>
          <w:b/>
          <w:bCs/>
          <w:caps/>
          <w:color w:val="000000"/>
          <w:sz w:val="26"/>
          <w:szCs w:val="26"/>
        </w:rPr>
      </w:pPr>
      <w:bookmarkStart w:id="3" w:name="_Hlk219277644"/>
      <w:r w:rsidRPr="003D40D1">
        <w:rPr>
          <w:rFonts w:ascii="Times New Roman" w:hAnsi="Times New Roman" w:cs="Times New Roman"/>
          <w:b/>
          <w:bCs/>
          <w:caps/>
          <w:color w:val="000000"/>
          <w:sz w:val="26"/>
          <w:szCs w:val="26"/>
        </w:rPr>
        <w:t>VETS-4212 Data Published on New DOL Open Data Portal</w:t>
      </w:r>
    </w:p>
    <w:bookmarkEnd w:id="2"/>
    <w:bookmarkEnd w:id="3"/>
    <w:p w14:paraId="7FE4E120" w14:textId="1B0C0A18" w:rsidR="003D40D1" w:rsidRPr="00F201BF" w:rsidRDefault="003D40D1" w:rsidP="00F201BF">
      <w:pPr>
        <w:pStyle w:val="ListParagraph"/>
        <w:widowControl/>
        <w:numPr>
          <w:ilvl w:val="0"/>
          <w:numId w:val="33"/>
        </w:numPr>
        <w:autoSpaceDE/>
        <w:autoSpaceDN/>
        <w:rPr>
          <w:color w:val="000000"/>
        </w:rPr>
      </w:pPr>
      <w:r w:rsidRPr="00F201BF">
        <w:rPr>
          <w:color w:val="000000"/>
        </w:rPr>
        <w:t>The U.S. Department of Labor (DOL) has launched a new open data portal to enhance agency alignment and public access to workforce information collected and maintained by DOL agencies. The portal includes over 40 categories of data from agencies such as OSHA and the Wage and Hour Division.</w:t>
      </w:r>
    </w:p>
    <w:p w14:paraId="0A9D84DC" w14:textId="77777777" w:rsidR="003D40D1" w:rsidRPr="00F201BF" w:rsidRDefault="003D40D1" w:rsidP="00F201BF">
      <w:pPr>
        <w:pStyle w:val="ListParagraph"/>
        <w:widowControl/>
        <w:autoSpaceDE/>
        <w:autoSpaceDN/>
        <w:ind w:left="720" w:firstLine="0"/>
        <w:rPr>
          <w:color w:val="000000"/>
        </w:rPr>
      </w:pPr>
    </w:p>
    <w:p w14:paraId="57FEA5B1" w14:textId="77777777" w:rsidR="003D40D1" w:rsidRPr="00F201BF" w:rsidRDefault="003D40D1" w:rsidP="00F201BF">
      <w:pPr>
        <w:pStyle w:val="ListParagraph"/>
        <w:widowControl/>
        <w:numPr>
          <w:ilvl w:val="0"/>
          <w:numId w:val="33"/>
        </w:numPr>
        <w:autoSpaceDE/>
        <w:autoSpaceDN/>
        <w:rPr>
          <w:color w:val="000000"/>
        </w:rPr>
      </w:pPr>
      <w:r w:rsidRPr="00F201BF">
        <w:rPr>
          <w:color w:val="000000"/>
        </w:rPr>
        <w:t>Federal contractors should be aware the portal includes company-specific data from VETS-4212 Reports previously filed with the Veterans’ Employment and Training Service (VETS).</w:t>
      </w:r>
    </w:p>
    <w:p w14:paraId="5F2752DD" w14:textId="77777777" w:rsidR="003D40D1" w:rsidRPr="00F201BF" w:rsidRDefault="003D40D1" w:rsidP="00F201BF">
      <w:pPr>
        <w:pStyle w:val="ListParagraph"/>
        <w:widowControl/>
        <w:autoSpaceDE/>
        <w:autoSpaceDN/>
        <w:ind w:left="720" w:firstLine="0"/>
        <w:rPr>
          <w:color w:val="000000"/>
        </w:rPr>
      </w:pPr>
    </w:p>
    <w:p w14:paraId="02A2C0C8" w14:textId="77777777" w:rsidR="003D40D1" w:rsidRPr="00F201BF" w:rsidRDefault="003D40D1" w:rsidP="00F201BF">
      <w:pPr>
        <w:pStyle w:val="ListParagraph"/>
        <w:widowControl/>
        <w:numPr>
          <w:ilvl w:val="0"/>
          <w:numId w:val="33"/>
        </w:numPr>
        <w:autoSpaceDE/>
        <w:autoSpaceDN/>
        <w:rPr>
          <w:color w:val="000000"/>
        </w:rPr>
      </w:pPr>
      <w:r w:rsidRPr="00F201BF">
        <w:rPr>
          <w:color w:val="000000"/>
        </w:rPr>
        <w:t>Under the Vietnam Era Veterans’ Readjustment Assistance Act (VEVRAA), covered federal contractors and subcontractors are required to annually report, via VETS-4212 Reports, information about the total number of employees and new hires by location, along with information about how many employees and new hires self-identified as protected veterans by location.</w:t>
      </w:r>
    </w:p>
    <w:p w14:paraId="4AD255D5" w14:textId="77777777" w:rsidR="00B26FA6" w:rsidRDefault="00B26FA6" w:rsidP="00F201BF">
      <w:pPr>
        <w:widowControl/>
        <w:autoSpaceDE/>
        <w:autoSpaceDN/>
        <w:jc w:val="both"/>
        <w:rPr>
          <w:b/>
          <w:bCs/>
          <w:caps/>
          <w:color w:val="000000"/>
          <w:sz w:val="26"/>
          <w:szCs w:val="26"/>
        </w:rPr>
      </w:pPr>
    </w:p>
    <w:p w14:paraId="2E1C7490" w14:textId="4EB32D01" w:rsidR="003D40D1" w:rsidRDefault="003D40D1" w:rsidP="003D40D1">
      <w:pPr>
        <w:widowControl/>
        <w:autoSpaceDE/>
        <w:autoSpaceDN/>
        <w:jc w:val="center"/>
        <w:rPr>
          <w:b/>
          <w:bCs/>
          <w:caps/>
          <w:color w:val="000000"/>
          <w:sz w:val="26"/>
          <w:szCs w:val="26"/>
        </w:rPr>
      </w:pPr>
      <w:r w:rsidRPr="003D40D1">
        <w:rPr>
          <w:b/>
          <w:bCs/>
          <w:caps/>
          <w:color w:val="000000"/>
          <w:sz w:val="26"/>
          <w:szCs w:val="26"/>
        </w:rPr>
        <w:t>TPS Update for Burma, Ethiopia, Haiti, and More- Employer I-9, E-Verify Checklists Following Agency Guidance</w:t>
      </w:r>
    </w:p>
    <w:p w14:paraId="4303F887" w14:textId="5E7B16B7" w:rsidR="003D40D1" w:rsidRPr="003D40D1" w:rsidRDefault="003D40D1" w:rsidP="003D40D1">
      <w:pPr>
        <w:widowControl/>
        <w:autoSpaceDE/>
        <w:autoSpaceDN/>
        <w:rPr>
          <w:b/>
          <w:bCs/>
          <w:caps/>
          <w:color w:val="000000"/>
          <w:sz w:val="26"/>
          <w:szCs w:val="26"/>
        </w:rPr>
      </w:pPr>
    </w:p>
    <w:p w14:paraId="25BE28A1" w14:textId="7045BA94" w:rsidR="00B26FA6" w:rsidRPr="00F201BF" w:rsidRDefault="005304E6" w:rsidP="00B26FA6">
      <w:pPr>
        <w:pStyle w:val="ListParagraph"/>
        <w:widowControl/>
        <w:numPr>
          <w:ilvl w:val="0"/>
          <w:numId w:val="37"/>
        </w:numPr>
        <w:autoSpaceDE/>
        <w:autoSpaceDN/>
        <w:rPr>
          <w:color w:val="000000"/>
        </w:rPr>
      </w:pPr>
      <w:r w:rsidRPr="00F201BF">
        <w:rPr>
          <w:color w:val="000000"/>
        </w:rPr>
        <w:t xml:space="preserve">The </w:t>
      </w:r>
      <w:r w:rsidR="00B26FA6" w:rsidRPr="00F201BF">
        <w:rPr>
          <w:color w:val="000000"/>
        </w:rPr>
        <w:t>USCIS and E-Verify have published coordinated employer guidance confirming how to handle I-9 and E-Verify compliance for current Temporary Protected Status (TPS) beneficiaries.</w:t>
      </w:r>
    </w:p>
    <w:p w14:paraId="0B2961AA" w14:textId="792DC540" w:rsidR="00B26FA6" w:rsidRPr="00F201BF" w:rsidRDefault="00B26FA6" w:rsidP="00B26FA6">
      <w:pPr>
        <w:pStyle w:val="ListParagraph"/>
        <w:widowControl/>
        <w:autoSpaceDE/>
        <w:autoSpaceDN/>
        <w:ind w:left="720" w:firstLine="0"/>
        <w:rPr>
          <w:color w:val="000000"/>
        </w:rPr>
      </w:pPr>
    </w:p>
    <w:p w14:paraId="07093001" w14:textId="026F10BD" w:rsidR="000A4C77" w:rsidRPr="00F201BF" w:rsidRDefault="00B26FA6" w:rsidP="00B26FA6">
      <w:pPr>
        <w:pStyle w:val="ListParagraph"/>
        <w:widowControl/>
        <w:numPr>
          <w:ilvl w:val="0"/>
          <w:numId w:val="37"/>
        </w:numPr>
        <w:autoSpaceDE/>
        <w:autoSpaceDN/>
        <w:rPr>
          <w:color w:val="000000"/>
        </w:rPr>
      </w:pPr>
      <w:r w:rsidRPr="00F201BF">
        <w:rPr>
          <w:color w:val="000000"/>
        </w:rPr>
        <w:t>Federal courts have stayed, or paused, the planned termination of Burma, Ethiopia, Haiti, Somalia, South Sudan and Syria’s TPS. The court stays</w:t>
      </w:r>
      <w:r w:rsidR="00F201BF" w:rsidRPr="00F201BF">
        <w:rPr>
          <w:color w:val="000000"/>
        </w:rPr>
        <w:t xml:space="preserve"> to</w:t>
      </w:r>
      <w:r w:rsidRPr="00F201BF">
        <w:rPr>
          <w:color w:val="000000"/>
        </w:rPr>
        <w:t xml:space="preserve"> preserve TPS protections and work authorization while litigation continues.</w:t>
      </w:r>
    </w:p>
    <w:p w14:paraId="306EFFDB" w14:textId="77777777" w:rsidR="00B26FA6" w:rsidRPr="00F201BF" w:rsidRDefault="00B26FA6" w:rsidP="00B26FA6">
      <w:pPr>
        <w:pStyle w:val="ListParagraph"/>
        <w:rPr>
          <w:color w:val="000000"/>
        </w:rPr>
      </w:pPr>
    </w:p>
    <w:p w14:paraId="0D3B2109" w14:textId="6578379F" w:rsidR="00B26FA6" w:rsidRPr="00F201BF" w:rsidRDefault="00B26FA6" w:rsidP="00B26FA6">
      <w:pPr>
        <w:widowControl/>
        <w:autoSpaceDE/>
        <w:autoSpaceDN/>
        <w:rPr>
          <w:color w:val="000000"/>
          <w:u w:val="single"/>
        </w:rPr>
      </w:pPr>
      <w:proofErr w:type="gramStart"/>
      <w:r w:rsidRPr="00F201BF">
        <w:rPr>
          <w:color w:val="000000"/>
          <w:u w:val="single"/>
        </w:rPr>
        <w:t>Form</w:t>
      </w:r>
      <w:proofErr w:type="gramEnd"/>
      <w:r w:rsidRPr="00F201BF">
        <w:rPr>
          <w:color w:val="000000"/>
          <w:u w:val="single"/>
        </w:rPr>
        <w:t xml:space="preserve"> I-9</w:t>
      </w:r>
    </w:p>
    <w:p w14:paraId="70293553" w14:textId="77777777" w:rsidR="00B26FA6" w:rsidRPr="00F201BF" w:rsidRDefault="00B26FA6" w:rsidP="00B26FA6">
      <w:pPr>
        <w:widowControl/>
        <w:autoSpaceDE/>
        <w:autoSpaceDN/>
        <w:rPr>
          <w:color w:val="000000"/>
        </w:rPr>
      </w:pPr>
      <w:r w:rsidRPr="00F201BF">
        <w:rPr>
          <w:color w:val="000000"/>
        </w:rPr>
        <w:t>The guidance directs employers to complete Section 1 and Section 2 on I-9s as follows:</w:t>
      </w:r>
    </w:p>
    <w:p w14:paraId="77EF9C39" w14:textId="77777777" w:rsidR="00B26FA6" w:rsidRPr="00F201BF" w:rsidRDefault="00B26FA6" w:rsidP="00B26FA6">
      <w:pPr>
        <w:widowControl/>
        <w:autoSpaceDE/>
        <w:autoSpaceDN/>
        <w:rPr>
          <w:color w:val="000000"/>
        </w:rPr>
      </w:pPr>
    </w:p>
    <w:p w14:paraId="3E492647" w14:textId="77777777" w:rsidR="00B26FA6" w:rsidRPr="00F201BF" w:rsidRDefault="00B26FA6" w:rsidP="00B26FA6">
      <w:pPr>
        <w:widowControl/>
        <w:autoSpaceDE/>
        <w:autoSpaceDN/>
        <w:rPr>
          <w:color w:val="000000"/>
        </w:rPr>
      </w:pPr>
      <w:r w:rsidRPr="00F201BF">
        <w:rPr>
          <w:color w:val="000000"/>
        </w:rPr>
        <w:t>New Hire Instructions:</w:t>
      </w:r>
    </w:p>
    <w:p w14:paraId="2EA4BAF6" w14:textId="77777777" w:rsidR="00B26FA6" w:rsidRPr="00F201BF" w:rsidRDefault="00B26FA6" w:rsidP="00B26FA6">
      <w:pPr>
        <w:pStyle w:val="ListParagraph"/>
        <w:widowControl/>
        <w:numPr>
          <w:ilvl w:val="0"/>
          <w:numId w:val="38"/>
        </w:numPr>
        <w:autoSpaceDE/>
        <w:autoSpaceDN/>
        <w:rPr>
          <w:color w:val="000000"/>
        </w:rPr>
      </w:pPr>
      <w:r w:rsidRPr="00F201BF">
        <w:rPr>
          <w:color w:val="000000"/>
        </w:rPr>
        <w:lastRenderedPageBreak/>
        <w:t>Section 1 (“Expiration Date”) – input “as per court order”</w:t>
      </w:r>
    </w:p>
    <w:p w14:paraId="00A53308" w14:textId="77777777" w:rsidR="00B26FA6" w:rsidRPr="00F201BF" w:rsidRDefault="00B26FA6" w:rsidP="00B26FA6">
      <w:pPr>
        <w:pStyle w:val="ListParagraph"/>
        <w:widowControl/>
        <w:numPr>
          <w:ilvl w:val="0"/>
          <w:numId w:val="38"/>
        </w:numPr>
        <w:autoSpaceDE/>
        <w:autoSpaceDN/>
        <w:rPr>
          <w:color w:val="000000"/>
        </w:rPr>
      </w:pPr>
      <w:r w:rsidRPr="00F201BF">
        <w:rPr>
          <w:color w:val="000000"/>
        </w:rPr>
        <w:t>Section 2 (“Expiration Date (if any)”) – input as follows:</w:t>
      </w:r>
    </w:p>
    <w:p w14:paraId="5CA36E34" w14:textId="77777777" w:rsidR="00B26FA6" w:rsidRPr="00F201BF" w:rsidRDefault="00B26FA6" w:rsidP="00B26FA6">
      <w:pPr>
        <w:pStyle w:val="ListParagraph"/>
        <w:widowControl/>
        <w:autoSpaceDE/>
        <w:autoSpaceDN/>
        <w:ind w:left="720" w:firstLine="720"/>
        <w:rPr>
          <w:color w:val="000000"/>
        </w:rPr>
      </w:pPr>
      <w:r w:rsidRPr="00F201BF">
        <w:rPr>
          <w:color w:val="000000"/>
        </w:rPr>
        <w:t>Burmese TPS holders: “March 30, 2026”</w:t>
      </w:r>
    </w:p>
    <w:p w14:paraId="04C7B8DB" w14:textId="77777777" w:rsidR="00B26FA6" w:rsidRPr="00F201BF" w:rsidRDefault="00B26FA6" w:rsidP="00B26FA6">
      <w:pPr>
        <w:pStyle w:val="ListParagraph"/>
        <w:widowControl/>
        <w:autoSpaceDE/>
        <w:autoSpaceDN/>
        <w:ind w:left="720" w:firstLine="720"/>
        <w:rPr>
          <w:color w:val="000000"/>
        </w:rPr>
      </w:pPr>
      <w:r w:rsidRPr="00F201BF">
        <w:rPr>
          <w:color w:val="000000"/>
        </w:rPr>
        <w:t>Ethiopian TPS holders: “April 8, 2026”</w:t>
      </w:r>
    </w:p>
    <w:p w14:paraId="7D0B6114" w14:textId="77777777" w:rsidR="00B26FA6" w:rsidRPr="00F201BF" w:rsidRDefault="00B26FA6" w:rsidP="00B26FA6">
      <w:pPr>
        <w:pStyle w:val="ListParagraph"/>
        <w:widowControl/>
        <w:autoSpaceDE/>
        <w:autoSpaceDN/>
        <w:ind w:left="720" w:firstLine="720"/>
        <w:rPr>
          <w:color w:val="000000"/>
        </w:rPr>
      </w:pPr>
      <w:r w:rsidRPr="00F201BF">
        <w:rPr>
          <w:color w:val="000000"/>
        </w:rPr>
        <w:t>Haitian TPS holders: “March 27, 2026”</w:t>
      </w:r>
    </w:p>
    <w:p w14:paraId="38982CF5" w14:textId="77777777" w:rsidR="00B26FA6" w:rsidRPr="00F201BF" w:rsidRDefault="00B26FA6" w:rsidP="00B26FA6">
      <w:pPr>
        <w:pStyle w:val="ListParagraph"/>
        <w:widowControl/>
        <w:autoSpaceDE/>
        <w:autoSpaceDN/>
        <w:ind w:left="720" w:firstLine="720"/>
        <w:rPr>
          <w:color w:val="000000"/>
        </w:rPr>
      </w:pPr>
      <w:r w:rsidRPr="00F201BF">
        <w:rPr>
          <w:color w:val="000000"/>
        </w:rPr>
        <w:t>Somalian TPS holders: “March 31, 2026”</w:t>
      </w:r>
    </w:p>
    <w:p w14:paraId="41019409" w14:textId="77777777" w:rsidR="00B26FA6" w:rsidRPr="00F201BF" w:rsidRDefault="00B26FA6" w:rsidP="00B26FA6">
      <w:pPr>
        <w:pStyle w:val="ListParagraph"/>
        <w:widowControl/>
        <w:autoSpaceDE/>
        <w:autoSpaceDN/>
        <w:ind w:left="720" w:firstLine="720"/>
        <w:rPr>
          <w:color w:val="000000"/>
        </w:rPr>
      </w:pPr>
      <w:r w:rsidRPr="00F201BF">
        <w:rPr>
          <w:color w:val="000000"/>
        </w:rPr>
        <w:t>South Sudanese TPS holders: “April 10, 2026”</w:t>
      </w:r>
    </w:p>
    <w:p w14:paraId="7498FFB9" w14:textId="77777777" w:rsidR="00B26FA6" w:rsidRPr="00F201BF" w:rsidRDefault="00B26FA6" w:rsidP="00B26FA6">
      <w:pPr>
        <w:pStyle w:val="ListParagraph"/>
        <w:widowControl/>
        <w:autoSpaceDE/>
        <w:autoSpaceDN/>
        <w:ind w:left="720" w:firstLine="720"/>
        <w:rPr>
          <w:color w:val="000000"/>
        </w:rPr>
      </w:pPr>
      <w:r w:rsidRPr="00F201BF">
        <w:rPr>
          <w:color w:val="000000"/>
        </w:rPr>
        <w:t>Syrian TPS holders: “March 24, 2026”</w:t>
      </w:r>
    </w:p>
    <w:p w14:paraId="54F7B9C6" w14:textId="77777777" w:rsidR="00B26FA6" w:rsidRPr="00F201BF" w:rsidRDefault="00B26FA6" w:rsidP="00B26FA6">
      <w:pPr>
        <w:widowControl/>
        <w:autoSpaceDE/>
        <w:autoSpaceDN/>
        <w:rPr>
          <w:color w:val="000000"/>
        </w:rPr>
      </w:pPr>
    </w:p>
    <w:p w14:paraId="2C974FF9" w14:textId="49477246" w:rsidR="00B26FA6" w:rsidRPr="00F201BF" w:rsidRDefault="00B26FA6" w:rsidP="00B26FA6">
      <w:pPr>
        <w:widowControl/>
        <w:autoSpaceDE/>
        <w:autoSpaceDN/>
        <w:rPr>
          <w:color w:val="000000"/>
        </w:rPr>
      </w:pPr>
      <w:r w:rsidRPr="00F201BF">
        <w:rPr>
          <w:color w:val="000000"/>
        </w:rPr>
        <w:t>Existing Employee Instructions:</w:t>
      </w:r>
    </w:p>
    <w:p w14:paraId="1596D657" w14:textId="5068294D" w:rsidR="00B26FA6" w:rsidRPr="00F201BF" w:rsidRDefault="00B26FA6" w:rsidP="00521A91">
      <w:pPr>
        <w:pStyle w:val="ListParagraph"/>
        <w:widowControl/>
        <w:numPr>
          <w:ilvl w:val="0"/>
          <w:numId w:val="38"/>
        </w:numPr>
        <w:autoSpaceDE/>
        <w:autoSpaceDN/>
        <w:rPr>
          <w:color w:val="000000"/>
        </w:rPr>
      </w:pPr>
      <w:r w:rsidRPr="00F201BF">
        <w:rPr>
          <w:color w:val="000000"/>
        </w:rPr>
        <w:t xml:space="preserve">Additional Information Box or Supplement B: Add a note </w:t>
      </w:r>
      <w:r w:rsidR="00F201BF" w:rsidRPr="00F201BF">
        <w:rPr>
          <w:color w:val="000000"/>
        </w:rPr>
        <w:t>saying,</w:t>
      </w:r>
      <w:r w:rsidRPr="00F201BF">
        <w:rPr>
          <w:color w:val="000000"/>
        </w:rPr>
        <w:t xml:space="preserve"> “as per Court Order” and referencing USCIS guidance.</w:t>
      </w:r>
    </w:p>
    <w:p w14:paraId="62C33855" w14:textId="56A979E2" w:rsidR="00B26FA6" w:rsidRPr="00F201BF" w:rsidRDefault="00B26FA6" w:rsidP="00521A91">
      <w:pPr>
        <w:pStyle w:val="ListParagraph"/>
        <w:widowControl/>
        <w:numPr>
          <w:ilvl w:val="0"/>
          <w:numId w:val="38"/>
        </w:numPr>
        <w:autoSpaceDE/>
        <w:autoSpaceDN/>
        <w:rPr>
          <w:color w:val="000000"/>
        </w:rPr>
      </w:pPr>
      <w:r w:rsidRPr="00F201BF">
        <w:rPr>
          <w:color w:val="000000"/>
        </w:rPr>
        <w:t>These updates apply even if the EAD shows an earlier printed expiration date. The court orders extend validity through the new respective dates. Do not ask employees for updated documents unless a final court determination or new DHS or USCIS guidance changes the situation.</w:t>
      </w:r>
    </w:p>
    <w:p w14:paraId="6E04DFFB" w14:textId="77777777" w:rsidR="00B26FA6" w:rsidRPr="00F201BF" w:rsidRDefault="00B26FA6" w:rsidP="00521A91">
      <w:pPr>
        <w:widowControl/>
        <w:autoSpaceDE/>
        <w:autoSpaceDN/>
        <w:jc w:val="both"/>
        <w:rPr>
          <w:color w:val="000000"/>
        </w:rPr>
      </w:pPr>
    </w:p>
    <w:p w14:paraId="48008D56" w14:textId="04268E47" w:rsidR="00B26FA6" w:rsidRPr="00F201BF" w:rsidRDefault="00B26FA6" w:rsidP="00521A91">
      <w:pPr>
        <w:widowControl/>
        <w:autoSpaceDE/>
        <w:autoSpaceDN/>
        <w:jc w:val="both"/>
        <w:rPr>
          <w:color w:val="000000"/>
          <w:u w:val="single"/>
        </w:rPr>
      </w:pPr>
      <w:r w:rsidRPr="00F201BF">
        <w:rPr>
          <w:color w:val="000000"/>
          <w:u w:val="single"/>
        </w:rPr>
        <w:t>E-Verify</w:t>
      </w:r>
    </w:p>
    <w:p w14:paraId="146943CF" w14:textId="77777777" w:rsidR="00B26FA6" w:rsidRPr="00F201BF" w:rsidRDefault="00B26FA6" w:rsidP="00B26FA6">
      <w:pPr>
        <w:widowControl/>
        <w:autoSpaceDE/>
        <w:autoSpaceDN/>
        <w:rPr>
          <w:color w:val="000000"/>
          <w:u w:val="single"/>
        </w:rPr>
      </w:pPr>
    </w:p>
    <w:p w14:paraId="00682FDA" w14:textId="4B57DDDA" w:rsidR="00B26FA6" w:rsidRPr="00F201BF" w:rsidRDefault="00B26FA6" w:rsidP="00521A91">
      <w:pPr>
        <w:widowControl/>
        <w:autoSpaceDE/>
        <w:autoSpaceDN/>
        <w:jc w:val="both"/>
        <w:rPr>
          <w:color w:val="000000"/>
        </w:rPr>
      </w:pPr>
      <w:r w:rsidRPr="00F201BF">
        <w:rPr>
          <w:color w:val="000000"/>
        </w:rPr>
        <w:t xml:space="preserve">The E-Verify </w:t>
      </w:r>
      <w:proofErr w:type="gramStart"/>
      <w:r w:rsidRPr="00F201BF">
        <w:rPr>
          <w:color w:val="000000"/>
        </w:rPr>
        <w:t>echo</w:t>
      </w:r>
      <w:proofErr w:type="gramEnd"/>
      <w:r w:rsidRPr="00F201BF">
        <w:rPr>
          <w:color w:val="000000"/>
        </w:rPr>
        <w:t xml:space="preserve"> the I-9 approach for new hires:</w:t>
      </w:r>
    </w:p>
    <w:p w14:paraId="02BCB4AE" w14:textId="77777777" w:rsidR="00B26FA6" w:rsidRPr="00F201BF" w:rsidRDefault="00B26FA6" w:rsidP="00521A91">
      <w:pPr>
        <w:pStyle w:val="ListParagraph"/>
        <w:widowControl/>
        <w:numPr>
          <w:ilvl w:val="0"/>
          <w:numId w:val="39"/>
        </w:numPr>
        <w:autoSpaceDE/>
        <w:autoSpaceDN/>
        <w:rPr>
          <w:color w:val="000000"/>
        </w:rPr>
      </w:pPr>
      <w:r w:rsidRPr="00F201BF">
        <w:rPr>
          <w:color w:val="000000"/>
        </w:rPr>
        <w:t>When creating or updating a case for a TPS holder, use the expiration dates from Section 2 of the I-9, as listed above, in the E-Verify case.</w:t>
      </w:r>
    </w:p>
    <w:p w14:paraId="1C6C346E" w14:textId="77777777" w:rsidR="00B26FA6" w:rsidRPr="00F201BF" w:rsidRDefault="00B26FA6" w:rsidP="00521A91">
      <w:pPr>
        <w:pStyle w:val="ListParagraph"/>
        <w:widowControl/>
        <w:numPr>
          <w:ilvl w:val="0"/>
          <w:numId w:val="39"/>
        </w:numPr>
        <w:autoSpaceDE/>
        <w:autoSpaceDN/>
        <w:rPr>
          <w:color w:val="000000"/>
        </w:rPr>
      </w:pPr>
      <w:r w:rsidRPr="00F201BF">
        <w:rPr>
          <w:color w:val="000000"/>
        </w:rPr>
        <w:t>Do not treat the earlier printed date on the EAD as the controlling expiration for E-Verify purposes.</w:t>
      </w:r>
    </w:p>
    <w:p w14:paraId="045F14F2" w14:textId="77777777" w:rsidR="00B26FA6" w:rsidRPr="00F201BF" w:rsidRDefault="00B26FA6" w:rsidP="00521A91">
      <w:pPr>
        <w:widowControl/>
        <w:autoSpaceDE/>
        <w:autoSpaceDN/>
        <w:jc w:val="both"/>
        <w:rPr>
          <w:color w:val="000000"/>
        </w:rPr>
      </w:pPr>
    </w:p>
    <w:p w14:paraId="3585C2B4" w14:textId="7BA50288" w:rsidR="00B26FA6" w:rsidRPr="00F201BF" w:rsidRDefault="00B26FA6" w:rsidP="00B26FA6">
      <w:pPr>
        <w:widowControl/>
        <w:autoSpaceDE/>
        <w:autoSpaceDN/>
        <w:rPr>
          <w:color w:val="000000"/>
        </w:rPr>
      </w:pPr>
      <w:r w:rsidRPr="00F201BF">
        <w:rPr>
          <w:color w:val="000000"/>
        </w:rPr>
        <w:t>Do not run a second E-Verify for existing employees.</w:t>
      </w:r>
    </w:p>
    <w:p w14:paraId="4B70141D" w14:textId="77777777" w:rsidR="00F201BF" w:rsidRPr="00F201BF" w:rsidRDefault="00F201BF" w:rsidP="00B26FA6">
      <w:pPr>
        <w:widowControl/>
        <w:autoSpaceDE/>
        <w:autoSpaceDN/>
        <w:rPr>
          <w:color w:val="000000"/>
        </w:rPr>
      </w:pPr>
    </w:p>
    <w:p w14:paraId="3588EDF3" w14:textId="77777777" w:rsidR="00F201BF" w:rsidRPr="00F201BF" w:rsidRDefault="00F201BF" w:rsidP="00B26FA6">
      <w:pPr>
        <w:widowControl/>
        <w:autoSpaceDE/>
        <w:autoSpaceDN/>
        <w:rPr>
          <w:color w:val="000000"/>
        </w:rPr>
      </w:pPr>
    </w:p>
    <w:p w14:paraId="611D5F36" w14:textId="77777777" w:rsidR="00F201BF" w:rsidRPr="00F201BF" w:rsidRDefault="00F201BF" w:rsidP="00F201BF">
      <w:pPr>
        <w:widowControl/>
        <w:autoSpaceDE/>
        <w:autoSpaceDN/>
        <w:jc w:val="center"/>
      </w:pPr>
      <w:r w:rsidRPr="00F201BF">
        <w:rPr>
          <w:color w:val="0A0A0A"/>
        </w:rPr>
        <w:t>If you are not a retainer client, contact us to learn about our services by calling 423-764-4127.</w:t>
      </w:r>
    </w:p>
    <w:p w14:paraId="5DCB23EE" w14:textId="77777777" w:rsidR="000A4C77" w:rsidRDefault="000A4C77" w:rsidP="005D1EEF">
      <w:pPr>
        <w:widowControl/>
        <w:autoSpaceDE/>
        <w:autoSpaceDN/>
      </w:pPr>
    </w:p>
    <w:p w14:paraId="5D5BD197" w14:textId="5AE96275" w:rsidR="00DD4DDB" w:rsidRDefault="00824C70" w:rsidP="00E937C1">
      <w:pPr>
        <w:widowControl/>
        <w:autoSpaceDE/>
        <w:autoSpaceDN/>
        <w:rPr>
          <w:color w:val="000000"/>
          <w:sz w:val="23"/>
          <w:szCs w:val="23"/>
        </w:rPr>
      </w:pPr>
      <w:r>
        <w:rPr>
          <w:noProof/>
        </w:rPr>
        <mc:AlternateContent>
          <mc:Choice Requires="wps">
            <w:drawing>
              <wp:anchor distT="0" distB="0" distL="114300" distR="114300" simplePos="0" relativeHeight="487588864" behindDoc="0" locked="0" layoutInCell="1" allowOverlap="1" wp14:anchorId="652A336E" wp14:editId="519A1034">
                <wp:simplePos x="0" y="0"/>
                <wp:positionH relativeFrom="column">
                  <wp:posOffset>3810</wp:posOffset>
                </wp:positionH>
                <wp:positionV relativeFrom="paragraph">
                  <wp:posOffset>50165</wp:posOffset>
                </wp:positionV>
                <wp:extent cx="6252210" cy="2600325"/>
                <wp:effectExtent l="38100" t="57150" r="53340" b="47625"/>
                <wp:wrapNone/>
                <wp:docPr id="297469921" name="Text Box 1"/>
                <wp:cNvGraphicFramePr/>
                <a:graphic xmlns:a="http://schemas.openxmlformats.org/drawingml/2006/main">
                  <a:graphicData uri="http://schemas.microsoft.com/office/word/2010/wordprocessingShape">
                    <wps:wsp>
                      <wps:cNvSpPr txBox="1"/>
                      <wps:spPr>
                        <a:xfrm>
                          <a:off x="0" y="0"/>
                          <a:ext cx="6252210" cy="2600325"/>
                        </a:xfrm>
                        <a:prstGeom prst="rect">
                          <a:avLst/>
                        </a:prstGeom>
                        <a:solidFill>
                          <a:srgbClr val="892034"/>
                        </a:solidFill>
                        <a:ln w="6350">
                          <a:noFill/>
                        </a:ln>
                        <a:effectLst>
                          <a:softEdge rad="0"/>
                        </a:effectLst>
                        <a:scene3d>
                          <a:camera prst="orthographicFront"/>
                          <a:lightRig rig="threePt" dir="t"/>
                        </a:scene3d>
                        <a:sp3d>
                          <a:bevelT w="57150"/>
                        </a:sp3d>
                      </wps:spPr>
                      <wps:txbx>
                        <w:txbxContent>
                          <w:p w14:paraId="410B8CEC" w14:textId="77777777" w:rsidR="00F201BF" w:rsidRPr="00660907" w:rsidRDefault="00F201BF" w:rsidP="00F201BF">
                            <w:pPr>
                              <w:jc w:val="center"/>
                              <w:rPr>
                                <w:rStyle w:val="Strong"/>
                                <w:color w:val="FFFFFF" w:themeColor="background1"/>
                              </w:rPr>
                            </w:pPr>
                            <w:r w:rsidRPr="00660907">
                              <w:rPr>
                                <w:rStyle w:val="Strong"/>
                                <w:color w:val="FFFFFF" w:themeColor="background1"/>
                              </w:rPr>
                              <w:t>SESCO FEATURED PRODUCT</w:t>
                            </w:r>
                          </w:p>
                          <w:p w14:paraId="732A1AD7" w14:textId="77777777" w:rsidR="00F201BF" w:rsidRPr="00660907" w:rsidRDefault="00F201BF" w:rsidP="00F201BF">
                            <w:pPr>
                              <w:jc w:val="center"/>
                              <w:rPr>
                                <w:rStyle w:val="Strong"/>
                                <w:color w:val="FFFFFF" w:themeColor="background1"/>
                              </w:rPr>
                            </w:pPr>
                          </w:p>
                          <w:p w14:paraId="31549388" w14:textId="77777777" w:rsidR="00F201BF" w:rsidRPr="00660907" w:rsidRDefault="00F201BF" w:rsidP="00F201BF">
                            <w:pPr>
                              <w:pStyle w:val="NormalWeb"/>
                              <w:jc w:val="center"/>
                              <w:rPr>
                                <w:rFonts w:ascii="Times New Roman" w:hAnsi="Times New Roman" w:cs="Times New Roman"/>
                                <w:b/>
                                <w:bCs/>
                                <w:color w:val="FFFFFF"/>
                              </w:rPr>
                            </w:pPr>
                            <w:r w:rsidRPr="00660907">
                              <w:rPr>
                                <w:rFonts w:ascii="Times New Roman" w:hAnsi="Times New Roman" w:cs="Times New Roman"/>
                                <w:b/>
                                <w:bCs/>
                                <w:color w:val="FFFFFF"/>
                              </w:rPr>
                              <w:t>2026 WEBINAR SERIES (PART 1)</w:t>
                            </w:r>
                          </w:p>
                          <w:p w14:paraId="14AC91C4" w14:textId="77777777" w:rsidR="00F201BF" w:rsidRPr="00660907" w:rsidRDefault="00F201BF" w:rsidP="00F201BF">
                            <w:pPr>
                              <w:pStyle w:val="NormalWeb"/>
                              <w:jc w:val="center"/>
                              <w:rPr>
                                <w:rFonts w:ascii="Times New Roman" w:hAnsi="Times New Roman" w:cs="Times New Roman"/>
                                <w:b/>
                                <w:bCs/>
                                <w:color w:val="FFFFFF"/>
                              </w:rPr>
                            </w:pPr>
                            <w:r w:rsidRPr="00660907">
                              <w:rPr>
                                <w:rFonts w:ascii="Times New Roman" w:hAnsi="Times New Roman" w:cs="Times New Roman"/>
                                <w:b/>
                                <w:bCs/>
                                <w:color w:val="FFFFFF"/>
                              </w:rPr>
                              <w:t>UPCOMING WEBINAR:</w:t>
                            </w:r>
                          </w:p>
                          <w:p w14:paraId="3B60B903" w14:textId="0E699964" w:rsidR="00F201BF" w:rsidRPr="00660907" w:rsidRDefault="00521A91" w:rsidP="00F201BF">
                            <w:pPr>
                              <w:pStyle w:val="NormalWeb"/>
                              <w:jc w:val="center"/>
                              <w:rPr>
                                <w:rFonts w:ascii="Times New Roman" w:hAnsi="Times New Roman" w:cs="Times New Roman"/>
                                <w:b/>
                                <w:bCs/>
                                <w:color w:val="FFFFFF"/>
                              </w:rPr>
                            </w:pPr>
                            <w:r>
                              <w:rPr>
                                <w:rFonts w:ascii="Times New Roman" w:hAnsi="Times New Roman" w:cs="Times New Roman"/>
                                <w:b/>
                                <w:bCs/>
                                <w:color w:val="FFFFFF"/>
                              </w:rPr>
                              <w:t>APRIL 7</w:t>
                            </w:r>
                            <w:r w:rsidR="00F201BF" w:rsidRPr="00660907">
                              <w:rPr>
                                <w:rFonts w:ascii="Times New Roman" w:hAnsi="Times New Roman" w:cs="Times New Roman"/>
                                <w:b/>
                                <w:bCs/>
                                <w:color w:val="FFFFFF"/>
                              </w:rPr>
                              <w:t xml:space="preserve">: </w:t>
                            </w:r>
                            <w:r>
                              <w:rPr>
                                <w:rFonts w:ascii="Times New Roman" w:hAnsi="Times New Roman" w:cs="Times New Roman"/>
                                <w:b/>
                                <w:bCs/>
                                <w:color w:val="FFFFFF"/>
                              </w:rPr>
                              <w:t>NAVIGATING WAGE AND HOUR COMPLIANCE: AVOID RISK AND STAY AHEAD</w:t>
                            </w:r>
                          </w:p>
                          <w:p w14:paraId="08A67365" w14:textId="77777777" w:rsidR="00F201BF" w:rsidRPr="00660907" w:rsidRDefault="00F201BF" w:rsidP="00F201BF">
                            <w:pPr>
                              <w:pStyle w:val="NormalWeb"/>
                              <w:jc w:val="center"/>
                              <w:rPr>
                                <w:rFonts w:ascii="Times New Roman" w:hAnsi="Times New Roman" w:cs="Times New Roman"/>
                                <w:b/>
                                <w:bCs/>
                                <w:color w:val="FFFFFF"/>
                              </w:rPr>
                            </w:pPr>
                            <w:r w:rsidRPr="00660907">
                              <w:rPr>
                                <w:rFonts w:ascii="Times New Roman" w:hAnsi="Times New Roman" w:cs="Times New Roman"/>
                                <w:b/>
                                <w:bCs/>
                                <w:color w:val="FFFFFF"/>
                              </w:rPr>
                              <w:t>1-2:30 PM EST</w:t>
                            </w:r>
                          </w:p>
                          <w:p w14:paraId="74A5B238" w14:textId="77777777" w:rsidR="00F201BF" w:rsidRPr="00660907" w:rsidRDefault="00F201BF" w:rsidP="00F201BF">
                            <w:pPr>
                              <w:pStyle w:val="Default"/>
                              <w:jc w:val="center"/>
                              <w:rPr>
                                <w:color w:val="FFFFFF" w:themeColor="background1"/>
                                <w:sz w:val="22"/>
                                <w:szCs w:val="22"/>
                              </w:rPr>
                            </w:pPr>
                            <w:r w:rsidRPr="00660907">
                              <w:rPr>
                                <w:b/>
                                <w:bCs/>
                                <w:color w:val="FFFFFF"/>
                                <w:sz w:val="22"/>
                                <w:szCs w:val="22"/>
                              </w:rPr>
                              <w:t xml:space="preserve">TO VIEW ALL WEBINARS AND TO REGISTER CLICK </w:t>
                            </w:r>
                            <w:r w:rsidRPr="00660907">
                              <w:rPr>
                                <w:b/>
                                <w:bCs/>
                                <w:color w:val="FFFFFF" w:themeColor="background1"/>
                                <w:sz w:val="22"/>
                                <w:szCs w:val="22"/>
                              </w:rPr>
                              <w:t xml:space="preserve"> </w:t>
                            </w:r>
                            <w:hyperlink r:id="rId8" w:history="1">
                              <w:r w:rsidRPr="00660907">
                                <w:rPr>
                                  <w:rStyle w:val="Hyperlink"/>
                                  <w:b/>
                                  <w:bCs/>
                                  <w:color w:val="FFFFFF" w:themeColor="background1"/>
                                  <w:sz w:val="22"/>
                                  <w:szCs w:val="22"/>
                                </w:rPr>
                                <w:t>HERE</w:t>
                              </w:r>
                            </w:hyperlink>
                          </w:p>
                          <w:p w14:paraId="13B307F5" w14:textId="7025F86F" w:rsidR="00F201BF" w:rsidRPr="00660907" w:rsidRDefault="00F201BF" w:rsidP="00F201BF">
                            <w:pPr>
                              <w:pStyle w:val="NormalWeb"/>
                              <w:jc w:val="center"/>
                              <w:rPr>
                                <w:rFonts w:ascii="Times New Roman" w:hAnsi="Times New Roman" w:cs="Times New Roman"/>
                                <w:b/>
                                <w:bCs/>
                                <w:color w:val="FFFFFF" w:themeColor="background1"/>
                              </w:rPr>
                            </w:pPr>
                            <w:r w:rsidRPr="00660907">
                              <w:rPr>
                                <w:rFonts w:ascii="Times New Roman" w:hAnsi="Times New Roman" w:cs="Times New Roman"/>
                                <w:b/>
                                <w:bCs/>
                                <w:color w:val="FFFFFF" w:themeColor="background1"/>
                              </w:rPr>
                              <w:t>For more information or registration, contact tonya@sescomgt.com</w:t>
                            </w:r>
                          </w:p>
                          <w:p w14:paraId="5644EDFC" w14:textId="77777777" w:rsidR="00F201BF" w:rsidRDefault="00F201BF" w:rsidP="00F201BF">
                            <w:pPr>
                              <w:pStyle w:val="NormalWeb"/>
                              <w:jc w:val="center"/>
                              <w:rPr>
                                <w:rFonts w:ascii="Arial" w:hAnsi="Arial" w:cs="Arial"/>
                                <w:color w:val="403F42"/>
                                <w:sz w:val="21"/>
                                <w:szCs w:val="21"/>
                              </w:rPr>
                            </w:pPr>
                          </w:p>
                          <w:p w14:paraId="3CD6EA82" w14:textId="77777777" w:rsidR="005304E6" w:rsidRPr="005304E6" w:rsidRDefault="005304E6" w:rsidP="005304E6">
                            <w:pPr>
                              <w:pStyle w:val="NormalWeb"/>
                              <w:jc w:val="center"/>
                              <w:rPr>
                                <w:rFonts w:ascii="Times New Roman" w:hAnsi="Times New Roman" w:cs="Times New Roman"/>
                                <w:b/>
                                <w:bCs/>
                                <w:color w:val="FFFFFF"/>
                                <w:sz w:val="23"/>
                                <w:szCs w:val="23"/>
                              </w:rPr>
                            </w:pPr>
                          </w:p>
                          <w:p w14:paraId="1BEF5AD1" w14:textId="77777777" w:rsidR="005304E6" w:rsidRPr="005304E6" w:rsidRDefault="005304E6" w:rsidP="005304E6">
                            <w:pPr>
                              <w:pStyle w:val="NormalWeb"/>
                              <w:jc w:val="center"/>
                              <w:rPr>
                                <w:rFonts w:ascii="Times New Roman" w:hAnsi="Times New Roman" w:cs="Times New Roman"/>
                                <w:b/>
                                <w:bCs/>
                                <w:color w:val="FFFFFF"/>
                                <w:sz w:val="23"/>
                                <w:szCs w:val="23"/>
                              </w:rPr>
                            </w:pPr>
                            <w:r w:rsidRPr="005304E6">
                              <w:rPr>
                                <w:rFonts w:ascii="Times New Roman" w:hAnsi="Times New Roman" w:cs="Times New Roman"/>
                                <w:b/>
                                <w:bCs/>
                                <w:color w:val="FFFFFF"/>
                                <w:sz w:val="23"/>
                                <w:szCs w:val="23"/>
                              </w:rPr>
                              <w:t xml:space="preserve">Employers may contact us if they have questions or to have us assist with </w:t>
                            </w:r>
                            <w:proofErr w:type="spellStart"/>
                            <w:r w:rsidRPr="005304E6">
                              <w:rPr>
                                <w:rFonts w:ascii="Times New Roman" w:hAnsi="Times New Roman" w:cs="Times New Roman"/>
                                <w:b/>
                                <w:bCs/>
                                <w:color w:val="FFFFFF"/>
                                <w:sz w:val="23"/>
                                <w:szCs w:val="23"/>
                              </w:rPr>
                              <w:t>DiSC</w:t>
                            </w:r>
                            <w:proofErr w:type="spellEnd"/>
                            <w:r w:rsidRPr="005304E6">
                              <w:rPr>
                                <w:rFonts w:ascii="Times New Roman" w:hAnsi="Times New Roman" w:cs="Times New Roman"/>
                                <w:b/>
                                <w:bCs/>
                                <w:color w:val="FFFFFF"/>
                                <w:sz w:val="23"/>
                                <w:szCs w:val="23"/>
                              </w:rPr>
                              <w:t xml:space="preserve"> or other pre-employment testing.</w:t>
                            </w:r>
                          </w:p>
                          <w:p w14:paraId="656939C9" w14:textId="77777777" w:rsidR="0046598D" w:rsidRDefault="0046598D" w:rsidP="0046598D">
                            <w:pPr>
                              <w:pStyle w:val="NormalWeb"/>
                              <w:jc w:val="center"/>
                              <w:rPr>
                                <w:rFonts w:ascii="Arial" w:hAnsi="Arial" w:cs="Arial"/>
                                <w:color w:val="403F42"/>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2A336E" id="_x0000_t202" coordsize="21600,21600" o:spt="202" path="m,l,21600r21600,l21600,xe">
                <v:stroke joinstyle="miter"/>
                <v:path gradientshapeok="t" o:connecttype="rect"/>
              </v:shapetype>
              <v:shape id="Text Box 1" o:spid="_x0000_s1026" type="#_x0000_t202" style="position:absolute;margin-left:.3pt;margin-top:3.95pt;width:492.3pt;height:204.75pt;z-index:48758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" fillcolor="#892034" stroked="f" strokeweight=".5pt">
                <v:textbox>
                  <w:txbxContent>
                    <w:p w14:paraId="410B8CEC" w14:textId="77777777" w:rsidR="00F201BF" w:rsidRPr="00660907" w:rsidRDefault="00F201BF" w:rsidP="00F201BF">
                      <w:pPr>
                        <w:jc w:val="center"/>
                        <w:rPr>
                          <w:rStyle w:val="Strong"/>
                          <w:color w:val="FFFFFF" w:themeColor="background1"/>
                        </w:rPr>
                      </w:pPr>
                      <w:r w:rsidRPr="00660907">
                        <w:rPr>
                          <w:rStyle w:val="Strong"/>
                          <w:color w:val="FFFFFF" w:themeColor="background1"/>
                        </w:rPr>
                        <w:t>SESCO FEATURED PRODUCT</w:t>
                      </w:r>
                    </w:p>
                    <w:p w14:paraId="732A1AD7" w14:textId="77777777" w:rsidR="00F201BF" w:rsidRPr="00660907" w:rsidRDefault="00F201BF" w:rsidP="00F201BF">
                      <w:pPr>
                        <w:jc w:val="center"/>
                        <w:rPr>
                          <w:rStyle w:val="Strong"/>
                          <w:color w:val="FFFFFF" w:themeColor="background1"/>
                        </w:rPr>
                      </w:pPr>
                    </w:p>
                    <w:p w14:paraId="31549388" w14:textId="77777777" w:rsidR="00F201BF" w:rsidRPr="00660907" w:rsidRDefault="00F201BF" w:rsidP="00F201BF">
                      <w:pPr>
                        <w:pStyle w:val="NormalWeb"/>
                        <w:jc w:val="center"/>
                        <w:rPr>
                          <w:rFonts w:ascii="Times New Roman" w:hAnsi="Times New Roman" w:cs="Times New Roman"/>
                          <w:b/>
                          <w:bCs/>
                          <w:color w:val="FFFFFF"/>
                        </w:rPr>
                      </w:pPr>
                      <w:r w:rsidRPr="00660907">
                        <w:rPr>
                          <w:rFonts w:ascii="Times New Roman" w:hAnsi="Times New Roman" w:cs="Times New Roman"/>
                          <w:b/>
                          <w:bCs/>
                          <w:color w:val="FFFFFF"/>
                        </w:rPr>
                        <w:t>2026 WEBINAR SERIES (PART 1)</w:t>
                      </w:r>
                    </w:p>
                    <w:p w14:paraId="14AC91C4" w14:textId="77777777" w:rsidR="00F201BF" w:rsidRPr="00660907" w:rsidRDefault="00F201BF" w:rsidP="00F201BF">
                      <w:pPr>
                        <w:pStyle w:val="NormalWeb"/>
                        <w:jc w:val="center"/>
                        <w:rPr>
                          <w:rFonts w:ascii="Times New Roman" w:hAnsi="Times New Roman" w:cs="Times New Roman"/>
                          <w:b/>
                          <w:bCs/>
                          <w:color w:val="FFFFFF"/>
                        </w:rPr>
                      </w:pPr>
                      <w:r w:rsidRPr="00660907">
                        <w:rPr>
                          <w:rFonts w:ascii="Times New Roman" w:hAnsi="Times New Roman" w:cs="Times New Roman"/>
                          <w:b/>
                          <w:bCs/>
                          <w:color w:val="FFFFFF"/>
                        </w:rPr>
                        <w:t>UPCOMING WEBINAR:</w:t>
                      </w:r>
                    </w:p>
                    <w:p w14:paraId="3B60B903" w14:textId="0E699964" w:rsidR="00F201BF" w:rsidRPr="00660907" w:rsidRDefault="00521A91" w:rsidP="00F201BF">
                      <w:pPr>
                        <w:pStyle w:val="NormalWeb"/>
                        <w:jc w:val="center"/>
                        <w:rPr>
                          <w:rFonts w:ascii="Times New Roman" w:hAnsi="Times New Roman" w:cs="Times New Roman"/>
                          <w:b/>
                          <w:bCs/>
                          <w:color w:val="FFFFFF"/>
                        </w:rPr>
                      </w:pPr>
                      <w:r>
                        <w:rPr>
                          <w:rFonts w:ascii="Times New Roman" w:hAnsi="Times New Roman" w:cs="Times New Roman"/>
                          <w:b/>
                          <w:bCs/>
                          <w:color w:val="FFFFFF"/>
                        </w:rPr>
                        <w:t>APRIL 7</w:t>
                      </w:r>
                      <w:r w:rsidR="00F201BF" w:rsidRPr="00660907">
                        <w:rPr>
                          <w:rFonts w:ascii="Times New Roman" w:hAnsi="Times New Roman" w:cs="Times New Roman"/>
                          <w:b/>
                          <w:bCs/>
                          <w:color w:val="FFFFFF"/>
                        </w:rPr>
                        <w:t xml:space="preserve">: </w:t>
                      </w:r>
                      <w:r>
                        <w:rPr>
                          <w:rFonts w:ascii="Times New Roman" w:hAnsi="Times New Roman" w:cs="Times New Roman"/>
                          <w:b/>
                          <w:bCs/>
                          <w:color w:val="FFFFFF"/>
                        </w:rPr>
                        <w:t>NAVIGATING WAGE AND HOUR COMPLIANCE: AVOID RISK AND STAY AHEAD</w:t>
                      </w:r>
                    </w:p>
                    <w:p w14:paraId="08A67365" w14:textId="77777777" w:rsidR="00F201BF" w:rsidRPr="00660907" w:rsidRDefault="00F201BF" w:rsidP="00F201BF">
                      <w:pPr>
                        <w:pStyle w:val="NormalWeb"/>
                        <w:jc w:val="center"/>
                        <w:rPr>
                          <w:rFonts w:ascii="Times New Roman" w:hAnsi="Times New Roman" w:cs="Times New Roman"/>
                          <w:b/>
                          <w:bCs/>
                          <w:color w:val="FFFFFF"/>
                        </w:rPr>
                      </w:pPr>
                      <w:r w:rsidRPr="00660907">
                        <w:rPr>
                          <w:rFonts w:ascii="Times New Roman" w:hAnsi="Times New Roman" w:cs="Times New Roman"/>
                          <w:b/>
                          <w:bCs/>
                          <w:color w:val="FFFFFF"/>
                        </w:rPr>
                        <w:t>1-2:30 PM EST</w:t>
                      </w:r>
                    </w:p>
                    <w:p w14:paraId="74A5B238" w14:textId="77777777" w:rsidR="00F201BF" w:rsidRPr="00660907" w:rsidRDefault="00F201BF" w:rsidP="00F201BF">
                      <w:pPr>
                        <w:pStyle w:val="Default"/>
                        <w:jc w:val="center"/>
                        <w:rPr>
                          <w:color w:val="FFFFFF" w:themeColor="background1"/>
                          <w:sz w:val="22"/>
                          <w:szCs w:val="22"/>
                        </w:rPr>
                      </w:pPr>
                      <w:r w:rsidRPr="00660907">
                        <w:rPr>
                          <w:b/>
                          <w:bCs/>
                          <w:color w:val="FFFFFF"/>
                          <w:sz w:val="22"/>
                          <w:szCs w:val="22"/>
                        </w:rPr>
                        <w:t xml:space="preserve">TO VIEW ALL WEBINARS AND TO REGISTER CLICK </w:t>
                      </w:r>
                      <w:r w:rsidRPr="00660907">
                        <w:rPr>
                          <w:b/>
                          <w:bCs/>
                          <w:color w:val="FFFFFF" w:themeColor="background1"/>
                          <w:sz w:val="22"/>
                          <w:szCs w:val="22"/>
                        </w:rPr>
                        <w:t xml:space="preserve"> </w:t>
                      </w:r>
                      <w:hyperlink r:id="rId9" w:history="1">
                        <w:r w:rsidRPr="00660907">
                          <w:rPr>
                            <w:rStyle w:val="Hyperlink"/>
                            <w:b/>
                            <w:bCs/>
                            <w:color w:val="FFFFFF" w:themeColor="background1"/>
                            <w:sz w:val="22"/>
                            <w:szCs w:val="22"/>
                          </w:rPr>
                          <w:t>HERE</w:t>
                        </w:r>
                      </w:hyperlink>
                    </w:p>
                    <w:p w14:paraId="13B307F5" w14:textId="7025F86F" w:rsidR="00F201BF" w:rsidRPr="00660907" w:rsidRDefault="00F201BF" w:rsidP="00F201BF">
                      <w:pPr>
                        <w:pStyle w:val="NormalWeb"/>
                        <w:jc w:val="center"/>
                        <w:rPr>
                          <w:rFonts w:ascii="Times New Roman" w:hAnsi="Times New Roman" w:cs="Times New Roman"/>
                          <w:b/>
                          <w:bCs/>
                          <w:color w:val="FFFFFF" w:themeColor="background1"/>
                        </w:rPr>
                      </w:pPr>
                      <w:r w:rsidRPr="00660907">
                        <w:rPr>
                          <w:rFonts w:ascii="Times New Roman" w:hAnsi="Times New Roman" w:cs="Times New Roman"/>
                          <w:b/>
                          <w:bCs/>
                          <w:color w:val="FFFFFF" w:themeColor="background1"/>
                        </w:rPr>
                        <w:t>For more information or registration, contact tonya@sescomgt.com</w:t>
                      </w:r>
                    </w:p>
                    <w:p w14:paraId="5644EDFC" w14:textId="77777777" w:rsidR="00F201BF" w:rsidRDefault="00F201BF" w:rsidP="00F201BF">
                      <w:pPr>
                        <w:pStyle w:val="NormalWeb"/>
                        <w:jc w:val="center"/>
                        <w:rPr>
                          <w:rFonts w:ascii="Arial" w:hAnsi="Arial" w:cs="Arial"/>
                          <w:color w:val="403F42"/>
                          <w:sz w:val="21"/>
                          <w:szCs w:val="21"/>
                        </w:rPr>
                      </w:pPr>
                    </w:p>
                    <w:p w14:paraId="3CD6EA82" w14:textId="77777777" w:rsidR="005304E6" w:rsidRPr="005304E6" w:rsidRDefault="005304E6" w:rsidP="005304E6">
                      <w:pPr>
                        <w:pStyle w:val="NormalWeb"/>
                        <w:jc w:val="center"/>
                        <w:rPr>
                          <w:rFonts w:ascii="Times New Roman" w:hAnsi="Times New Roman" w:cs="Times New Roman"/>
                          <w:b/>
                          <w:bCs/>
                          <w:color w:val="FFFFFF"/>
                          <w:sz w:val="23"/>
                          <w:szCs w:val="23"/>
                        </w:rPr>
                      </w:pPr>
                    </w:p>
                    <w:p w14:paraId="1BEF5AD1" w14:textId="77777777" w:rsidR="005304E6" w:rsidRPr="005304E6" w:rsidRDefault="005304E6" w:rsidP="005304E6">
                      <w:pPr>
                        <w:pStyle w:val="NormalWeb"/>
                        <w:jc w:val="center"/>
                        <w:rPr>
                          <w:rFonts w:ascii="Times New Roman" w:hAnsi="Times New Roman" w:cs="Times New Roman"/>
                          <w:b/>
                          <w:bCs/>
                          <w:color w:val="FFFFFF"/>
                          <w:sz w:val="23"/>
                          <w:szCs w:val="23"/>
                        </w:rPr>
                      </w:pPr>
                      <w:r w:rsidRPr="005304E6">
                        <w:rPr>
                          <w:rFonts w:ascii="Times New Roman" w:hAnsi="Times New Roman" w:cs="Times New Roman"/>
                          <w:b/>
                          <w:bCs/>
                          <w:color w:val="FFFFFF"/>
                          <w:sz w:val="23"/>
                          <w:szCs w:val="23"/>
                        </w:rPr>
                        <w:t xml:space="preserve">Employers may contact us if they have questions or to have us assist with </w:t>
                      </w:r>
                      <w:proofErr w:type="spellStart"/>
                      <w:r w:rsidRPr="005304E6">
                        <w:rPr>
                          <w:rFonts w:ascii="Times New Roman" w:hAnsi="Times New Roman" w:cs="Times New Roman"/>
                          <w:b/>
                          <w:bCs/>
                          <w:color w:val="FFFFFF"/>
                          <w:sz w:val="23"/>
                          <w:szCs w:val="23"/>
                        </w:rPr>
                        <w:t>DiSC</w:t>
                      </w:r>
                      <w:proofErr w:type="spellEnd"/>
                      <w:r w:rsidRPr="005304E6">
                        <w:rPr>
                          <w:rFonts w:ascii="Times New Roman" w:hAnsi="Times New Roman" w:cs="Times New Roman"/>
                          <w:b/>
                          <w:bCs/>
                          <w:color w:val="FFFFFF"/>
                          <w:sz w:val="23"/>
                          <w:szCs w:val="23"/>
                        </w:rPr>
                        <w:t xml:space="preserve"> or other pre-employment testing.</w:t>
                      </w:r>
                    </w:p>
                    <w:p w14:paraId="656939C9" w14:textId="77777777" w:rsidR="0046598D" w:rsidRDefault="0046598D" w:rsidP="0046598D">
                      <w:pPr>
                        <w:pStyle w:val="NormalWeb"/>
                        <w:jc w:val="center"/>
                        <w:rPr>
                          <w:rFonts w:ascii="Arial" w:hAnsi="Arial" w:cs="Arial"/>
                          <w:color w:val="403F42"/>
                          <w:sz w:val="21"/>
                          <w:szCs w:val="21"/>
                        </w:rPr>
                      </w:pPr>
                    </w:p>
                  </w:txbxContent>
                </v:textbox>
              </v:shape>
            </w:pict>
          </mc:Fallback>
        </mc:AlternateContent>
      </w:r>
    </w:p>
    <w:p w14:paraId="44453E66" w14:textId="3A0ADF34" w:rsidR="00DD4DDB" w:rsidRDefault="00DD4DDB" w:rsidP="00E937C1">
      <w:pPr>
        <w:widowControl/>
        <w:autoSpaceDE/>
        <w:autoSpaceDN/>
        <w:rPr>
          <w:color w:val="000000"/>
          <w:sz w:val="23"/>
          <w:szCs w:val="23"/>
        </w:rPr>
      </w:pPr>
    </w:p>
    <w:p w14:paraId="26314447" w14:textId="147FE90C" w:rsidR="00E937C1" w:rsidRPr="00E937C1" w:rsidRDefault="00E937C1" w:rsidP="00E937C1">
      <w:pPr>
        <w:widowControl/>
        <w:autoSpaceDE/>
        <w:autoSpaceDN/>
        <w:rPr>
          <w:color w:val="000000"/>
          <w:sz w:val="23"/>
          <w:szCs w:val="23"/>
        </w:rPr>
      </w:pPr>
    </w:p>
    <w:p w14:paraId="33D4F57B" w14:textId="46A8BE1E" w:rsidR="00D100E4" w:rsidRDefault="00D100E4" w:rsidP="0018020E">
      <w:pPr>
        <w:pStyle w:val="BodyText"/>
        <w:spacing w:before="96"/>
        <w:rPr>
          <w:rFonts w:eastAsia="Aptos"/>
          <w:b/>
          <w:bCs/>
          <w:sz w:val="24"/>
          <w:szCs w:val="24"/>
        </w:rPr>
      </w:pPr>
    </w:p>
    <w:p w14:paraId="5137C05C" w14:textId="0048021E" w:rsidR="00D100E4" w:rsidRDefault="00D100E4" w:rsidP="0018020E">
      <w:pPr>
        <w:pStyle w:val="BodyText"/>
        <w:spacing w:before="96"/>
        <w:rPr>
          <w:rFonts w:eastAsia="Aptos"/>
          <w:b/>
          <w:bCs/>
          <w:sz w:val="24"/>
          <w:szCs w:val="24"/>
        </w:rPr>
      </w:pPr>
    </w:p>
    <w:p w14:paraId="14A9FC75" w14:textId="5EE91E5F" w:rsidR="00D100E4" w:rsidRDefault="00D100E4" w:rsidP="0018020E">
      <w:pPr>
        <w:pStyle w:val="BodyText"/>
        <w:spacing w:before="96"/>
        <w:rPr>
          <w:rFonts w:eastAsia="Aptos"/>
          <w:b/>
          <w:bCs/>
          <w:sz w:val="24"/>
          <w:szCs w:val="24"/>
        </w:rPr>
      </w:pPr>
    </w:p>
    <w:p w14:paraId="2D78A51C" w14:textId="3C45C5A9" w:rsidR="00D100E4" w:rsidRDefault="00D100E4" w:rsidP="0018020E">
      <w:pPr>
        <w:pStyle w:val="BodyText"/>
        <w:spacing w:before="96"/>
        <w:rPr>
          <w:rFonts w:eastAsia="Aptos"/>
          <w:b/>
          <w:bCs/>
          <w:sz w:val="24"/>
          <w:szCs w:val="24"/>
        </w:rPr>
      </w:pPr>
    </w:p>
    <w:p w14:paraId="54BCF9DC" w14:textId="22B115F0" w:rsidR="00D100E4" w:rsidRDefault="00D100E4" w:rsidP="0018020E">
      <w:pPr>
        <w:pStyle w:val="BodyText"/>
        <w:spacing w:before="96"/>
        <w:rPr>
          <w:rFonts w:eastAsia="Aptos"/>
          <w:b/>
          <w:bCs/>
          <w:sz w:val="24"/>
          <w:szCs w:val="24"/>
        </w:rPr>
      </w:pPr>
    </w:p>
    <w:p w14:paraId="1E98AF85" w14:textId="77777777" w:rsidR="00D100E4" w:rsidRDefault="00D100E4" w:rsidP="0018020E">
      <w:pPr>
        <w:pStyle w:val="BodyText"/>
        <w:spacing w:before="96"/>
        <w:rPr>
          <w:rFonts w:eastAsia="Aptos"/>
          <w:b/>
          <w:bCs/>
          <w:sz w:val="24"/>
          <w:szCs w:val="24"/>
        </w:rPr>
      </w:pPr>
    </w:p>
    <w:p w14:paraId="7546E5F9" w14:textId="77777777" w:rsidR="00F201BF" w:rsidRDefault="00F201BF" w:rsidP="0018020E">
      <w:pPr>
        <w:pStyle w:val="BodyText"/>
        <w:spacing w:before="96"/>
        <w:rPr>
          <w:rFonts w:eastAsia="Aptos"/>
          <w:b/>
          <w:bCs/>
          <w:sz w:val="24"/>
          <w:szCs w:val="24"/>
        </w:rPr>
      </w:pPr>
    </w:p>
    <w:p w14:paraId="36C97307" w14:textId="77777777" w:rsidR="00F201BF" w:rsidRDefault="00F201BF" w:rsidP="0018020E">
      <w:pPr>
        <w:pStyle w:val="BodyText"/>
        <w:spacing w:before="96"/>
        <w:rPr>
          <w:rFonts w:eastAsia="Aptos"/>
          <w:b/>
          <w:bCs/>
          <w:sz w:val="24"/>
          <w:szCs w:val="24"/>
        </w:rPr>
      </w:pPr>
    </w:p>
    <w:p w14:paraId="79F4C18B" w14:textId="0F40ED93" w:rsidR="007953C9" w:rsidRPr="00277A48" w:rsidRDefault="00F201BF" w:rsidP="0018020E">
      <w:pPr>
        <w:pStyle w:val="BodyText"/>
        <w:spacing w:before="96"/>
        <w:rPr>
          <w:rFonts w:eastAsia="Aptos"/>
          <w:b/>
          <w:bCs/>
          <w:sz w:val="24"/>
          <w:szCs w:val="24"/>
        </w:rPr>
      </w:pPr>
      <w:r w:rsidRPr="00277A48">
        <w:rPr>
          <w:b/>
          <w:bCs/>
          <w:noProof/>
        </w:rPr>
        <w:drawing>
          <wp:anchor distT="0" distB="0" distL="0" distR="0" simplePos="0" relativeHeight="487587840" behindDoc="1" locked="0" layoutInCell="1" allowOverlap="1" wp14:anchorId="3860A072" wp14:editId="4B1BDB4B">
            <wp:simplePos x="0" y="0"/>
            <wp:positionH relativeFrom="margin">
              <wp:posOffset>1889125</wp:posOffset>
            </wp:positionH>
            <wp:positionV relativeFrom="paragraph">
              <wp:posOffset>469900</wp:posOffset>
            </wp:positionV>
            <wp:extent cx="2742565" cy="566420"/>
            <wp:effectExtent l="0" t="0" r="635" b="508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742565" cy="566420"/>
                    </a:xfrm>
                    <a:prstGeom prst="rect">
                      <a:avLst/>
                    </a:prstGeom>
                  </pic:spPr>
                </pic:pic>
              </a:graphicData>
            </a:graphic>
          </wp:anchor>
        </w:drawing>
      </w:r>
    </w:p>
    <w:p w14:paraId="4B62BB15" w14:textId="279AC180" w:rsidR="0076654E" w:rsidRDefault="004A43C3">
      <w:pPr>
        <w:spacing w:before="238"/>
        <w:ind w:left="4233"/>
        <w:rPr>
          <w:b/>
        </w:rPr>
      </w:pPr>
      <w:bookmarkStart w:id="4" w:name="_Hlk169772359"/>
      <w:r>
        <w:rPr>
          <w:b/>
        </w:rPr>
        <w:t>P.O.</w:t>
      </w:r>
      <w:r>
        <w:rPr>
          <w:b/>
          <w:spacing w:val="-3"/>
        </w:rPr>
        <w:t xml:space="preserve"> </w:t>
      </w:r>
      <w:r>
        <w:rPr>
          <w:b/>
        </w:rPr>
        <w:t xml:space="preserve">Box </w:t>
      </w:r>
      <w:r>
        <w:rPr>
          <w:b/>
          <w:spacing w:val="-4"/>
        </w:rPr>
        <w:t>1848</w:t>
      </w:r>
    </w:p>
    <w:p w14:paraId="25AFF85C" w14:textId="2BB07E13" w:rsidR="0076654E" w:rsidRDefault="004A43C3">
      <w:pPr>
        <w:spacing w:before="1" w:line="253" w:lineRule="exact"/>
        <w:ind w:left="3749"/>
        <w:rPr>
          <w:b/>
        </w:rPr>
      </w:pPr>
      <w:r>
        <w:rPr>
          <w:b/>
        </w:rPr>
        <w:t>Bristol,</w:t>
      </w:r>
      <w:r>
        <w:rPr>
          <w:b/>
          <w:spacing w:val="-9"/>
        </w:rPr>
        <w:t xml:space="preserve"> </w:t>
      </w:r>
      <w:r>
        <w:rPr>
          <w:b/>
        </w:rPr>
        <w:t>Tennessee</w:t>
      </w:r>
      <w:r>
        <w:rPr>
          <w:b/>
          <w:spacing w:val="-8"/>
        </w:rPr>
        <w:t xml:space="preserve"> </w:t>
      </w:r>
      <w:r>
        <w:rPr>
          <w:b/>
          <w:spacing w:val="-2"/>
        </w:rPr>
        <w:t>37621</w:t>
      </w:r>
    </w:p>
    <w:p w14:paraId="6AD7B231" w14:textId="3E7A5161" w:rsidR="0076654E" w:rsidRDefault="004A43C3">
      <w:pPr>
        <w:spacing w:line="252" w:lineRule="exact"/>
        <w:ind w:left="4212"/>
        <w:rPr>
          <w:b/>
        </w:rPr>
      </w:pPr>
      <w:r>
        <w:rPr>
          <w:b/>
        </w:rPr>
        <w:lastRenderedPageBreak/>
        <w:t>(423)</w:t>
      </w:r>
      <w:r>
        <w:rPr>
          <w:b/>
          <w:spacing w:val="-7"/>
        </w:rPr>
        <w:t xml:space="preserve"> </w:t>
      </w:r>
      <w:r>
        <w:rPr>
          <w:b/>
        </w:rPr>
        <w:t>764-</w:t>
      </w:r>
      <w:r>
        <w:rPr>
          <w:b/>
          <w:spacing w:val="-4"/>
        </w:rPr>
        <w:t>4127</w:t>
      </w:r>
    </w:p>
    <w:p w14:paraId="6FDBFAA8" w14:textId="77777777" w:rsidR="0076654E" w:rsidRDefault="004A43C3">
      <w:pPr>
        <w:spacing w:line="252" w:lineRule="exact"/>
        <w:ind w:left="3933"/>
        <w:rPr>
          <w:b/>
        </w:rPr>
      </w:pPr>
      <w:r>
        <w:rPr>
          <w:b/>
        </w:rPr>
        <w:t>(423)</w:t>
      </w:r>
      <w:r>
        <w:rPr>
          <w:b/>
          <w:spacing w:val="-8"/>
        </w:rPr>
        <w:t xml:space="preserve"> </w:t>
      </w:r>
      <w:r>
        <w:rPr>
          <w:b/>
        </w:rPr>
        <w:t>764-5869</w:t>
      </w:r>
      <w:r>
        <w:rPr>
          <w:b/>
          <w:spacing w:val="-6"/>
        </w:rPr>
        <w:t xml:space="preserve"> </w:t>
      </w:r>
      <w:r>
        <w:rPr>
          <w:b/>
          <w:spacing w:val="-4"/>
        </w:rPr>
        <w:t>(Fax)</w:t>
      </w:r>
    </w:p>
    <w:p w14:paraId="1583A15D" w14:textId="7CE8C7FB" w:rsidR="004A43C3" w:rsidRDefault="004A43C3" w:rsidP="00F201BF">
      <w:pPr>
        <w:spacing w:before="186"/>
        <w:ind w:left="3542" w:right="3557"/>
        <w:jc w:val="center"/>
        <w:rPr>
          <w:b/>
        </w:rPr>
      </w:pPr>
      <w:r>
        <w:rPr>
          <w:b/>
        </w:rPr>
        <w:t>web</w:t>
      </w:r>
      <w:r>
        <w:rPr>
          <w:b/>
          <w:spacing w:val="-14"/>
        </w:rPr>
        <w:t xml:space="preserve"> </w:t>
      </w:r>
      <w:r>
        <w:rPr>
          <w:b/>
        </w:rPr>
        <w:t xml:space="preserve">site: </w:t>
      </w:r>
      <w:hyperlink r:id="rId11">
        <w:r>
          <w:rPr>
            <w:b/>
          </w:rPr>
          <w:t>www.sescomgt.com</w:t>
        </w:r>
      </w:hyperlink>
      <w:r>
        <w:rPr>
          <w:b/>
        </w:rPr>
        <w:t xml:space="preserve"> e-mail:</w:t>
      </w:r>
      <w:r>
        <w:rPr>
          <w:b/>
          <w:spacing w:val="45"/>
        </w:rPr>
        <w:t xml:space="preserve"> </w:t>
      </w:r>
      <w:hyperlink r:id="rId12">
        <w:r>
          <w:rPr>
            <w:b/>
            <w:spacing w:val="-2"/>
          </w:rPr>
          <w:t>sesco@sescomgt.com</w:t>
        </w:r>
      </w:hyperlink>
      <w:bookmarkEnd w:id="4"/>
    </w:p>
    <w:sectPr w:rsidR="004A43C3" w:rsidSect="009158A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195" w:bottom="274" w:left="12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67C4" w14:textId="77777777" w:rsidR="00ED4D48" w:rsidRDefault="00ED4D48" w:rsidP="004A43C3">
      <w:r>
        <w:separator/>
      </w:r>
    </w:p>
  </w:endnote>
  <w:endnote w:type="continuationSeparator" w:id="0">
    <w:p w14:paraId="6F5C1A26" w14:textId="77777777" w:rsidR="00ED4D48" w:rsidRDefault="00ED4D48" w:rsidP="004A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231E" w14:textId="77777777" w:rsidR="0078469F" w:rsidRDefault="00784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DED5" w14:textId="77777777" w:rsidR="0078469F" w:rsidRDefault="00784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0688" w14:textId="77777777" w:rsidR="0078469F" w:rsidRDefault="0078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B3BC" w14:textId="77777777" w:rsidR="00ED4D48" w:rsidRDefault="00ED4D48" w:rsidP="004A43C3">
      <w:r>
        <w:separator/>
      </w:r>
    </w:p>
  </w:footnote>
  <w:footnote w:type="continuationSeparator" w:id="0">
    <w:p w14:paraId="7BB8DB29" w14:textId="77777777" w:rsidR="00ED4D48" w:rsidRDefault="00ED4D48" w:rsidP="004A4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D61E" w14:textId="77777777" w:rsidR="0078469F" w:rsidRDefault="00784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C51C" w14:textId="77777777" w:rsidR="0078469F" w:rsidRDefault="00784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4247B" w14:textId="5F5DF836" w:rsidR="009158A7" w:rsidRDefault="001450E6" w:rsidP="009158A7">
    <w:pPr>
      <w:pStyle w:val="Header"/>
      <w:jc w:val="center"/>
    </w:pPr>
    <w:r>
      <w:rPr>
        <w:noProof/>
        <w:sz w:val="20"/>
      </w:rPr>
      <w:drawing>
        <wp:inline distT="0" distB="0" distL="0" distR="0" wp14:anchorId="33082BB3" wp14:editId="5B814413">
          <wp:extent cx="1171917" cy="657225"/>
          <wp:effectExtent l="0" t="0" r="9525" b="0"/>
          <wp:docPr id="2040521644"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21644" name="Picture 6"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176" cy="671391"/>
                  </a:xfrm>
                  <a:prstGeom prst="rect">
                    <a:avLst/>
                  </a:prstGeom>
                </pic:spPr>
              </pic:pic>
            </a:graphicData>
          </a:graphic>
        </wp:inline>
      </w:drawing>
    </w:r>
    <w:r w:rsidR="009158A7">
      <w:rPr>
        <w:noProof/>
      </w:rPr>
      <w:t xml:space="preserve">   </w:t>
    </w:r>
    <w:r w:rsidR="009158A7">
      <w:rPr>
        <w:noProof/>
      </w:rPr>
      <w:t xml:space="preserve">   </w:t>
    </w:r>
    <w:r w:rsidR="009158A7">
      <w:rPr>
        <w:noProof/>
      </w:rPr>
      <w:drawing>
        <wp:inline distT="0" distB="0" distL="0" distR="0" wp14:anchorId="1825BFC3" wp14:editId="7B3A5515">
          <wp:extent cx="2743200" cy="571500"/>
          <wp:effectExtent l="0" t="0" r="0" b="0"/>
          <wp:docPr id="1410982899" name="Picture 1" descr="A black and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82899" name="Picture 1" descr="A black and red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571500"/>
                  </a:xfrm>
                  <a:prstGeom prst="rect">
                    <a:avLst/>
                  </a:prstGeom>
                  <a:noFill/>
                  <a:ln>
                    <a:noFill/>
                  </a:ln>
                </pic:spPr>
              </pic:pic>
            </a:graphicData>
          </a:graphic>
        </wp:inline>
      </w:drawing>
    </w:r>
  </w:p>
  <w:p w14:paraId="76DAFED1" w14:textId="62D87E63" w:rsidR="009158A7" w:rsidRDefault="009158A7" w:rsidP="009158A7">
    <w:pPr>
      <w:pStyle w:val="Header"/>
      <w:tabs>
        <w:tab w:val="clear" w:pos="4680"/>
        <w:tab w:val="clear" w:pos="9360"/>
        <w:tab w:val="left" w:pos="2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322"/>
    <w:multiLevelType w:val="hybridMultilevel"/>
    <w:tmpl w:val="2D9A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10C8"/>
    <w:multiLevelType w:val="hybridMultilevel"/>
    <w:tmpl w:val="0FD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87714"/>
    <w:multiLevelType w:val="hybridMultilevel"/>
    <w:tmpl w:val="2584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749FA"/>
    <w:multiLevelType w:val="hybridMultilevel"/>
    <w:tmpl w:val="8760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329CD"/>
    <w:multiLevelType w:val="hybridMultilevel"/>
    <w:tmpl w:val="B518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249D1"/>
    <w:multiLevelType w:val="hybridMultilevel"/>
    <w:tmpl w:val="5AAC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1C93"/>
    <w:multiLevelType w:val="hybridMultilevel"/>
    <w:tmpl w:val="B8DC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01AB8"/>
    <w:multiLevelType w:val="hybridMultilevel"/>
    <w:tmpl w:val="321E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314D0"/>
    <w:multiLevelType w:val="hybridMultilevel"/>
    <w:tmpl w:val="3190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90F67"/>
    <w:multiLevelType w:val="hybridMultilevel"/>
    <w:tmpl w:val="C446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36A2B"/>
    <w:multiLevelType w:val="hybridMultilevel"/>
    <w:tmpl w:val="9452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92C6C"/>
    <w:multiLevelType w:val="hybridMultilevel"/>
    <w:tmpl w:val="E6C4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5481B"/>
    <w:multiLevelType w:val="hybridMultilevel"/>
    <w:tmpl w:val="F34C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E7320"/>
    <w:multiLevelType w:val="multilevel"/>
    <w:tmpl w:val="A6908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07C9D"/>
    <w:multiLevelType w:val="hybridMultilevel"/>
    <w:tmpl w:val="B5D2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A6198"/>
    <w:multiLevelType w:val="hybridMultilevel"/>
    <w:tmpl w:val="194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50203"/>
    <w:multiLevelType w:val="hybridMultilevel"/>
    <w:tmpl w:val="F998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C4D58"/>
    <w:multiLevelType w:val="hybridMultilevel"/>
    <w:tmpl w:val="2EE8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1A36"/>
    <w:multiLevelType w:val="hybridMultilevel"/>
    <w:tmpl w:val="9302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B53AE"/>
    <w:multiLevelType w:val="hybridMultilevel"/>
    <w:tmpl w:val="09E8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E4E9B"/>
    <w:multiLevelType w:val="hybridMultilevel"/>
    <w:tmpl w:val="ACA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A58C1"/>
    <w:multiLevelType w:val="hybridMultilevel"/>
    <w:tmpl w:val="62E8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802EB"/>
    <w:multiLevelType w:val="hybridMultilevel"/>
    <w:tmpl w:val="A45C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C1A9F"/>
    <w:multiLevelType w:val="hybridMultilevel"/>
    <w:tmpl w:val="EDD0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17BF6"/>
    <w:multiLevelType w:val="hybridMultilevel"/>
    <w:tmpl w:val="5356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1005F"/>
    <w:multiLevelType w:val="hybridMultilevel"/>
    <w:tmpl w:val="0444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53393"/>
    <w:multiLevelType w:val="hybridMultilevel"/>
    <w:tmpl w:val="AB70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34FBB"/>
    <w:multiLevelType w:val="multilevel"/>
    <w:tmpl w:val="DD66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75764"/>
    <w:multiLevelType w:val="hybridMultilevel"/>
    <w:tmpl w:val="C5FE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306D6"/>
    <w:multiLevelType w:val="hybridMultilevel"/>
    <w:tmpl w:val="01A2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F4C2D"/>
    <w:multiLevelType w:val="hybridMultilevel"/>
    <w:tmpl w:val="5A24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B107DE"/>
    <w:multiLevelType w:val="hybridMultilevel"/>
    <w:tmpl w:val="5DE4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29FA"/>
    <w:multiLevelType w:val="hybridMultilevel"/>
    <w:tmpl w:val="C9CE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31343"/>
    <w:multiLevelType w:val="hybridMultilevel"/>
    <w:tmpl w:val="5A3E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12445"/>
    <w:multiLevelType w:val="hybridMultilevel"/>
    <w:tmpl w:val="3EA0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6215F4"/>
    <w:multiLevelType w:val="hybridMultilevel"/>
    <w:tmpl w:val="CB6A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281452"/>
    <w:multiLevelType w:val="hybridMultilevel"/>
    <w:tmpl w:val="7622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6163FB"/>
    <w:multiLevelType w:val="hybridMultilevel"/>
    <w:tmpl w:val="B72A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27B7A"/>
    <w:multiLevelType w:val="hybridMultilevel"/>
    <w:tmpl w:val="BC3A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314152">
    <w:abstractNumId w:val="33"/>
  </w:num>
  <w:num w:numId="2" w16cid:durableId="1736513950">
    <w:abstractNumId w:val="1"/>
  </w:num>
  <w:num w:numId="3" w16cid:durableId="835537026">
    <w:abstractNumId w:val="36"/>
  </w:num>
  <w:num w:numId="4" w16cid:durableId="2027291556">
    <w:abstractNumId w:val="23"/>
  </w:num>
  <w:num w:numId="5" w16cid:durableId="1743597536">
    <w:abstractNumId w:val="32"/>
  </w:num>
  <w:num w:numId="6" w16cid:durableId="2110156147">
    <w:abstractNumId w:val="7"/>
  </w:num>
  <w:num w:numId="7" w16cid:durableId="214048537">
    <w:abstractNumId w:val="16"/>
  </w:num>
  <w:num w:numId="8" w16cid:durableId="323706946">
    <w:abstractNumId w:val="9"/>
  </w:num>
  <w:num w:numId="9" w16cid:durableId="673610663">
    <w:abstractNumId w:val="6"/>
  </w:num>
  <w:num w:numId="10" w16cid:durableId="706413587">
    <w:abstractNumId w:val="2"/>
  </w:num>
  <w:num w:numId="11" w16cid:durableId="1970281245">
    <w:abstractNumId w:val="29"/>
  </w:num>
  <w:num w:numId="12" w16cid:durableId="1814903543">
    <w:abstractNumId w:val="22"/>
  </w:num>
  <w:num w:numId="13" w16cid:durableId="1639073731">
    <w:abstractNumId w:val="28"/>
  </w:num>
  <w:num w:numId="14" w16cid:durableId="1294824363">
    <w:abstractNumId w:val="19"/>
  </w:num>
  <w:num w:numId="15" w16cid:durableId="1485463358">
    <w:abstractNumId w:val="10"/>
  </w:num>
  <w:num w:numId="16" w16cid:durableId="1078794900">
    <w:abstractNumId w:val="20"/>
  </w:num>
  <w:num w:numId="17" w16cid:durableId="1500735360">
    <w:abstractNumId w:val="37"/>
  </w:num>
  <w:num w:numId="18" w16cid:durableId="851799932">
    <w:abstractNumId w:val="21"/>
  </w:num>
  <w:num w:numId="19" w16cid:durableId="428241374">
    <w:abstractNumId w:val="14"/>
  </w:num>
  <w:num w:numId="20" w16cid:durableId="2136412539">
    <w:abstractNumId w:val="25"/>
  </w:num>
  <w:num w:numId="21" w16cid:durableId="1308824750">
    <w:abstractNumId w:val="8"/>
  </w:num>
  <w:num w:numId="22" w16cid:durableId="1808618462">
    <w:abstractNumId w:val="18"/>
  </w:num>
  <w:num w:numId="23" w16cid:durableId="289821522">
    <w:abstractNumId w:val="13"/>
  </w:num>
  <w:num w:numId="24" w16cid:durableId="1378503256">
    <w:abstractNumId w:val="30"/>
  </w:num>
  <w:num w:numId="25" w16cid:durableId="1238901400">
    <w:abstractNumId w:val="34"/>
  </w:num>
  <w:num w:numId="26" w16cid:durableId="1172986088">
    <w:abstractNumId w:val="4"/>
  </w:num>
  <w:num w:numId="27" w16cid:durableId="1104616677">
    <w:abstractNumId w:val="15"/>
  </w:num>
  <w:num w:numId="28" w16cid:durableId="1919822815">
    <w:abstractNumId w:val="24"/>
  </w:num>
  <w:num w:numId="29" w16cid:durableId="877864023">
    <w:abstractNumId w:val="26"/>
  </w:num>
  <w:num w:numId="30" w16cid:durableId="1651205225">
    <w:abstractNumId w:val="31"/>
  </w:num>
  <w:num w:numId="31" w16cid:durableId="898828676">
    <w:abstractNumId w:val="17"/>
  </w:num>
  <w:num w:numId="32" w16cid:durableId="1019115869">
    <w:abstractNumId w:val="12"/>
  </w:num>
  <w:num w:numId="33" w16cid:durableId="1823080801">
    <w:abstractNumId w:val="0"/>
  </w:num>
  <w:num w:numId="34" w16cid:durableId="940528414">
    <w:abstractNumId w:val="38"/>
  </w:num>
  <w:num w:numId="35" w16cid:durableId="1089934174">
    <w:abstractNumId w:val="27"/>
  </w:num>
  <w:num w:numId="36" w16cid:durableId="1871844078">
    <w:abstractNumId w:val="35"/>
  </w:num>
  <w:num w:numId="37" w16cid:durableId="1696534735">
    <w:abstractNumId w:val="3"/>
  </w:num>
  <w:num w:numId="38" w16cid:durableId="720666059">
    <w:abstractNumId w:val="11"/>
  </w:num>
  <w:num w:numId="39" w16cid:durableId="194179629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4E"/>
    <w:rsid w:val="000372EB"/>
    <w:rsid w:val="00052DDE"/>
    <w:rsid w:val="00060880"/>
    <w:rsid w:val="00064CFE"/>
    <w:rsid w:val="00066EB6"/>
    <w:rsid w:val="00072207"/>
    <w:rsid w:val="000805C8"/>
    <w:rsid w:val="000917A5"/>
    <w:rsid w:val="000A0DE7"/>
    <w:rsid w:val="000A4C77"/>
    <w:rsid w:val="000B65C9"/>
    <w:rsid w:val="000E21C0"/>
    <w:rsid w:val="000F1842"/>
    <w:rsid w:val="000F7DF8"/>
    <w:rsid w:val="00100F3D"/>
    <w:rsid w:val="00111B29"/>
    <w:rsid w:val="00112687"/>
    <w:rsid w:val="001136CF"/>
    <w:rsid w:val="00126163"/>
    <w:rsid w:val="00132134"/>
    <w:rsid w:val="00142EF7"/>
    <w:rsid w:val="00143781"/>
    <w:rsid w:val="001450E6"/>
    <w:rsid w:val="001661C3"/>
    <w:rsid w:val="00176B39"/>
    <w:rsid w:val="0018020E"/>
    <w:rsid w:val="00182E98"/>
    <w:rsid w:val="001A2FED"/>
    <w:rsid w:val="001A590D"/>
    <w:rsid w:val="001D4B4B"/>
    <w:rsid w:val="001E707B"/>
    <w:rsid w:val="001F0230"/>
    <w:rsid w:val="0020726E"/>
    <w:rsid w:val="0021344A"/>
    <w:rsid w:val="00224E5F"/>
    <w:rsid w:val="002253EB"/>
    <w:rsid w:val="00256058"/>
    <w:rsid w:val="00261918"/>
    <w:rsid w:val="002753AB"/>
    <w:rsid w:val="00277A48"/>
    <w:rsid w:val="00285A08"/>
    <w:rsid w:val="0029151B"/>
    <w:rsid w:val="00292DE4"/>
    <w:rsid w:val="00296AD8"/>
    <w:rsid w:val="00297292"/>
    <w:rsid w:val="002B239E"/>
    <w:rsid w:val="002B459B"/>
    <w:rsid w:val="002C5CEA"/>
    <w:rsid w:val="002C5F1A"/>
    <w:rsid w:val="002D22D5"/>
    <w:rsid w:val="002E5537"/>
    <w:rsid w:val="002E7D17"/>
    <w:rsid w:val="002E7DD2"/>
    <w:rsid w:val="002F180C"/>
    <w:rsid w:val="002F25DF"/>
    <w:rsid w:val="00320CE1"/>
    <w:rsid w:val="00321CC5"/>
    <w:rsid w:val="0032689E"/>
    <w:rsid w:val="00330961"/>
    <w:rsid w:val="0033409E"/>
    <w:rsid w:val="003404D0"/>
    <w:rsid w:val="003406D8"/>
    <w:rsid w:val="003510EF"/>
    <w:rsid w:val="0035790C"/>
    <w:rsid w:val="003730E5"/>
    <w:rsid w:val="00384F51"/>
    <w:rsid w:val="00391BC8"/>
    <w:rsid w:val="003A0FC2"/>
    <w:rsid w:val="003A3E68"/>
    <w:rsid w:val="003C6A44"/>
    <w:rsid w:val="003D40D1"/>
    <w:rsid w:val="003E146F"/>
    <w:rsid w:val="003E65E0"/>
    <w:rsid w:val="003F348A"/>
    <w:rsid w:val="00412FB4"/>
    <w:rsid w:val="004208CD"/>
    <w:rsid w:val="004446DF"/>
    <w:rsid w:val="0046598D"/>
    <w:rsid w:val="004718E4"/>
    <w:rsid w:val="004751DC"/>
    <w:rsid w:val="00476876"/>
    <w:rsid w:val="00493C88"/>
    <w:rsid w:val="004A125C"/>
    <w:rsid w:val="004A2025"/>
    <w:rsid w:val="004A43C3"/>
    <w:rsid w:val="004C1A83"/>
    <w:rsid w:val="004E11B4"/>
    <w:rsid w:val="00500D28"/>
    <w:rsid w:val="005048CE"/>
    <w:rsid w:val="00505B9D"/>
    <w:rsid w:val="00512FBA"/>
    <w:rsid w:val="00515119"/>
    <w:rsid w:val="00521A91"/>
    <w:rsid w:val="00523FCB"/>
    <w:rsid w:val="005304E6"/>
    <w:rsid w:val="0053122E"/>
    <w:rsid w:val="00556A98"/>
    <w:rsid w:val="00564AD0"/>
    <w:rsid w:val="0056591F"/>
    <w:rsid w:val="00572E82"/>
    <w:rsid w:val="00584A70"/>
    <w:rsid w:val="00584E12"/>
    <w:rsid w:val="00585C0F"/>
    <w:rsid w:val="00586A71"/>
    <w:rsid w:val="005A5261"/>
    <w:rsid w:val="005C07E3"/>
    <w:rsid w:val="005C6921"/>
    <w:rsid w:val="005D1EEF"/>
    <w:rsid w:val="005E3654"/>
    <w:rsid w:val="00600614"/>
    <w:rsid w:val="00630E8F"/>
    <w:rsid w:val="0063158F"/>
    <w:rsid w:val="0063443D"/>
    <w:rsid w:val="00650147"/>
    <w:rsid w:val="0066052F"/>
    <w:rsid w:val="006A7348"/>
    <w:rsid w:val="006B69B8"/>
    <w:rsid w:val="006C5A5D"/>
    <w:rsid w:val="006E1F01"/>
    <w:rsid w:val="006F05CF"/>
    <w:rsid w:val="007011CD"/>
    <w:rsid w:val="00721B20"/>
    <w:rsid w:val="007408A8"/>
    <w:rsid w:val="0075559F"/>
    <w:rsid w:val="00760B55"/>
    <w:rsid w:val="0076654E"/>
    <w:rsid w:val="0078469F"/>
    <w:rsid w:val="00785983"/>
    <w:rsid w:val="0079124A"/>
    <w:rsid w:val="007953C9"/>
    <w:rsid w:val="007A3451"/>
    <w:rsid w:val="007B2CF6"/>
    <w:rsid w:val="007B3947"/>
    <w:rsid w:val="007D1538"/>
    <w:rsid w:val="007E0FF0"/>
    <w:rsid w:val="007E3E40"/>
    <w:rsid w:val="007E4621"/>
    <w:rsid w:val="007E75AC"/>
    <w:rsid w:val="007F1E08"/>
    <w:rsid w:val="00805CD6"/>
    <w:rsid w:val="0081432B"/>
    <w:rsid w:val="00823A79"/>
    <w:rsid w:val="00824C70"/>
    <w:rsid w:val="00826043"/>
    <w:rsid w:val="00850EBE"/>
    <w:rsid w:val="008514C6"/>
    <w:rsid w:val="00852B1F"/>
    <w:rsid w:val="00864756"/>
    <w:rsid w:val="00866EDA"/>
    <w:rsid w:val="00875005"/>
    <w:rsid w:val="0087666A"/>
    <w:rsid w:val="0089606D"/>
    <w:rsid w:val="008A0A21"/>
    <w:rsid w:val="008A259D"/>
    <w:rsid w:val="008B7EEA"/>
    <w:rsid w:val="008E4643"/>
    <w:rsid w:val="008F38EF"/>
    <w:rsid w:val="008F5695"/>
    <w:rsid w:val="00902A6F"/>
    <w:rsid w:val="009158A7"/>
    <w:rsid w:val="00923748"/>
    <w:rsid w:val="00937354"/>
    <w:rsid w:val="00940D86"/>
    <w:rsid w:val="00940D94"/>
    <w:rsid w:val="009543B4"/>
    <w:rsid w:val="009670F8"/>
    <w:rsid w:val="009706C7"/>
    <w:rsid w:val="009821DC"/>
    <w:rsid w:val="00984625"/>
    <w:rsid w:val="0098531E"/>
    <w:rsid w:val="00987E68"/>
    <w:rsid w:val="009A4259"/>
    <w:rsid w:val="009B5F9D"/>
    <w:rsid w:val="009D2186"/>
    <w:rsid w:val="009D7F75"/>
    <w:rsid w:val="009F0EDE"/>
    <w:rsid w:val="00A05CD8"/>
    <w:rsid w:val="00A05FEB"/>
    <w:rsid w:val="00A124A7"/>
    <w:rsid w:val="00A12D84"/>
    <w:rsid w:val="00A1515C"/>
    <w:rsid w:val="00A243BD"/>
    <w:rsid w:val="00A57ADD"/>
    <w:rsid w:val="00A71AD4"/>
    <w:rsid w:val="00A86F0A"/>
    <w:rsid w:val="00A91127"/>
    <w:rsid w:val="00AB16A6"/>
    <w:rsid w:val="00AD09A0"/>
    <w:rsid w:val="00AE0399"/>
    <w:rsid w:val="00AE3F18"/>
    <w:rsid w:val="00AF12DD"/>
    <w:rsid w:val="00AF1DB6"/>
    <w:rsid w:val="00B26FA6"/>
    <w:rsid w:val="00B3486A"/>
    <w:rsid w:val="00B42436"/>
    <w:rsid w:val="00B47981"/>
    <w:rsid w:val="00B55D76"/>
    <w:rsid w:val="00BA3926"/>
    <w:rsid w:val="00BA4B11"/>
    <w:rsid w:val="00BC3CF2"/>
    <w:rsid w:val="00BD30C4"/>
    <w:rsid w:val="00BD55BA"/>
    <w:rsid w:val="00BE337B"/>
    <w:rsid w:val="00BF6252"/>
    <w:rsid w:val="00C10BD1"/>
    <w:rsid w:val="00C23C23"/>
    <w:rsid w:val="00C25692"/>
    <w:rsid w:val="00C442D0"/>
    <w:rsid w:val="00C47697"/>
    <w:rsid w:val="00C770F5"/>
    <w:rsid w:val="00C82ECF"/>
    <w:rsid w:val="00C84CE3"/>
    <w:rsid w:val="00C9178D"/>
    <w:rsid w:val="00CA63BA"/>
    <w:rsid w:val="00CB4271"/>
    <w:rsid w:val="00CC149D"/>
    <w:rsid w:val="00CD25CE"/>
    <w:rsid w:val="00CE2C64"/>
    <w:rsid w:val="00CE45E7"/>
    <w:rsid w:val="00CE4DDB"/>
    <w:rsid w:val="00CF36EA"/>
    <w:rsid w:val="00D048F7"/>
    <w:rsid w:val="00D100E4"/>
    <w:rsid w:val="00D137FF"/>
    <w:rsid w:val="00D3588C"/>
    <w:rsid w:val="00D41D7E"/>
    <w:rsid w:val="00D42DC1"/>
    <w:rsid w:val="00D56A77"/>
    <w:rsid w:val="00D85148"/>
    <w:rsid w:val="00D86B49"/>
    <w:rsid w:val="00DC2A49"/>
    <w:rsid w:val="00DD0E42"/>
    <w:rsid w:val="00DD4DDB"/>
    <w:rsid w:val="00DE5CBB"/>
    <w:rsid w:val="00DE7436"/>
    <w:rsid w:val="00DE7BE4"/>
    <w:rsid w:val="00E03D2F"/>
    <w:rsid w:val="00E267FC"/>
    <w:rsid w:val="00E330C2"/>
    <w:rsid w:val="00E3579A"/>
    <w:rsid w:val="00E37EFC"/>
    <w:rsid w:val="00E54F99"/>
    <w:rsid w:val="00E72B04"/>
    <w:rsid w:val="00E76B36"/>
    <w:rsid w:val="00E85279"/>
    <w:rsid w:val="00E937C1"/>
    <w:rsid w:val="00EA714C"/>
    <w:rsid w:val="00EB4D71"/>
    <w:rsid w:val="00EB5F1D"/>
    <w:rsid w:val="00EC4D45"/>
    <w:rsid w:val="00ED4D48"/>
    <w:rsid w:val="00EE092B"/>
    <w:rsid w:val="00EE7C9E"/>
    <w:rsid w:val="00F11A24"/>
    <w:rsid w:val="00F12A60"/>
    <w:rsid w:val="00F201BF"/>
    <w:rsid w:val="00F26106"/>
    <w:rsid w:val="00F30EC4"/>
    <w:rsid w:val="00F52909"/>
    <w:rsid w:val="00F54BA7"/>
    <w:rsid w:val="00F6513B"/>
    <w:rsid w:val="00F71039"/>
    <w:rsid w:val="00F905B0"/>
    <w:rsid w:val="00F93347"/>
    <w:rsid w:val="00FA5DA3"/>
    <w:rsid w:val="00FF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933D1"/>
  <w15:docId w15:val="{B7109BEA-CC5E-414C-B673-853EBCB0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FF"/>
    <w:rPr>
      <w:rFonts w:ascii="Times New Roman" w:eastAsia="Times New Roman" w:hAnsi="Times New Roman" w:cs="Times New Roman"/>
    </w:rPr>
  </w:style>
  <w:style w:type="paragraph" w:styleId="Heading1">
    <w:name w:val="heading 1"/>
    <w:basedOn w:val="Normal"/>
    <w:uiPriority w:val="9"/>
    <w:qFormat/>
    <w:pPr>
      <w:ind w:left="1" w:right="1"/>
      <w:jc w:val="center"/>
      <w:outlineLvl w:val="0"/>
    </w:pPr>
    <w:rPr>
      <w:b/>
      <w:bCs/>
    </w:rPr>
  </w:style>
  <w:style w:type="paragraph" w:styleId="Heading2">
    <w:name w:val="heading 2"/>
    <w:basedOn w:val="Normal"/>
    <w:next w:val="Normal"/>
    <w:link w:val="Heading2Char"/>
    <w:uiPriority w:val="9"/>
    <w:semiHidden/>
    <w:unhideWhenUsed/>
    <w:qFormat/>
    <w:rsid w:val="007408A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9" w:right="118"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43C3"/>
    <w:rPr>
      <w:color w:val="0000FF" w:themeColor="hyperlink"/>
      <w:u w:val="single"/>
    </w:rPr>
  </w:style>
  <w:style w:type="paragraph" w:styleId="NormalWeb">
    <w:name w:val="Normal (Web)"/>
    <w:basedOn w:val="Normal"/>
    <w:uiPriority w:val="99"/>
    <w:unhideWhenUsed/>
    <w:rsid w:val="004A43C3"/>
    <w:pPr>
      <w:widowControl/>
      <w:autoSpaceDE/>
      <w:autoSpaceDN/>
      <w:spacing w:before="100" w:beforeAutospacing="1" w:after="100" w:afterAutospacing="1"/>
    </w:pPr>
    <w:rPr>
      <w:rFonts w:ascii="Calibri" w:eastAsiaTheme="minorHAnsi" w:hAnsi="Calibri" w:cs="Calibri"/>
    </w:rPr>
  </w:style>
  <w:style w:type="character" w:styleId="Strong">
    <w:name w:val="Strong"/>
    <w:basedOn w:val="DefaultParagraphFont"/>
    <w:uiPriority w:val="22"/>
    <w:qFormat/>
    <w:rsid w:val="004A43C3"/>
    <w:rPr>
      <w:b/>
      <w:bCs/>
    </w:rPr>
  </w:style>
  <w:style w:type="paragraph" w:styleId="Header">
    <w:name w:val="header"/>
    <w:basedOn w:val="Normal"/>
    <w:link w:val="HeaderChar"/>
    <w:uiPriority w:val="99"/>
    <w:unhideWhenUsed/>
    <w:rsid w:val="004A43C3"/>
    <w:pPr>
      <w:tabs>
        <w:tab w:val="center" w:pos="4680"/>
        <w:tab w:val="right" w:pos="9360"/>
      </w:tabs>
    </w:pPr>
  </w:style>
  <w:style w:type="character" w:customStyle="1" w:styleId="HeaderChar">
    <w:name w:val="Header Char"/>
    <w:basedOn w:val="DefaultParagraphFont"/>
    <w:link w:val="Header"/>
    <w:uiPriority w:val="99"/>
    <w:rsid w:val="004A43C3"/>
    <w:rPr>
      <w:rFonts w:ascii="Times New Roman" w:eastAsia="Times New Roman" w:hAnsi="Times New Roman" w:cs="Times New Roman"/>
    </w:rPr>
  </w:style>
  <w:style w:type="paragraph" w:styleId="Footer">
    <w:name w:val="footer"/>
    <w:basedOn w:val="Normal"/>
    <w:link w:val="FooterChar"/>
    <w:uiPriority w:val="99"/>
    <w:unhideWhenUsed/>
    <w:rsid w:val="004A43C3"/>
    <w:pPr>
      <w:tabs>
        <w:tab w:val="center" w:pos="4680"/>
        <w:tab w:val="right" w:pos="9360"/>
      </w:tabs>
    </w:pPr>
  </w:style>
  <w:style w:type="character" w:customStyle="1" w:styleId="FooterChar">
    <w:name w:val="Footer Char"/>
    <w:basedOn w:val="DefaultParagraphFont"/>
    <w:link w:val="Footer"/>
    <w:uiPriority w:val="99"/>
    <w:rsid w:val="004A43C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408A8"/>
    <w:rPr>
      <w:rFonts w:asciiTheme="majorHAnsi" w:eastAsiaTheme="majorEastAsia" w:hAnsiTheme="majorHAnsi" w:cstheme="majorBidi"/>
      <w:color w:val="365F91" w:themeColor="accent1" w:themeShade="BF"/>
      <w:sz w:val="26"/>
      <w:szCs w:val="26"/>
    </w:rPr>
  </w:style>
  <w:style w:type="paragraph" w:styleId="IntenseQuote">
    <w:name w:val="Intense Quote"/>
    <w:basedOn w:val="Normal"/>
    <w:next w:val="Normal"/>
    <w:link w:val="IntenseQuoteChar"/>
    <w:uiPriority w:val="30"/>
    <w:qFormat/>
    <w:rsid w:val="009846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84625"/>
    <w:rPr>
      <w:rFonts w:ascii="Times New Roman" w:eastAsia="Times New Roman" w:hAnsi="Times New Roman" w:cs="Times New Roman"/>
      <w:i/>
      <w:iCs/>
      <w:color w:val="4F81BD" w:themeColor="accent1"/>
    </w:rPr>
  </w:style>
  <w:style w:type="paragraph" w:customStyle="1" w:styleId="Default">
    <w:name w:val="Default"/>
    <w:rsid w:val="00F201B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42695">
      <w:bodyDiv w:val="1"/>
      <w:marLeft w:val="0"/>
      <w:marRight w:val="0"/>
      <w:marTop w:val="0"/>
      <w:marBottom w:val="0"/>
      <w:divBdr>
        <w:top w:val="none" w:sz="0" w:space="0" w:color="auto"/>
        <w:left w:val="none" w:sz="0" w:space="0" w:color="auto"/>
        <w:bottom w:val="none" w:sz="0" w:space="0" w:color="auto"/>
        <w:right w:val="none" w:sz="0" w:space="0" w:color="auto"/>
      </w:divBdr>
    </w:div>
    <w:div w:id="863708753">
      <w:bodyDiv w:val="1"/>
      <w:marLeft w:val="0"/>
      <w:marRight w:val="0"/>
      <w:marTop w:val="0"/>
      <w:marBottom w:val="0"/>
      <w:divBdr>
        <w:top w:val="none" w:sz="0" w:space="0" w:color="auto"/>
        <w:left w:val="none" w:sz="0" w:space="0" w:color="auto"/>
        <w:bottom w:val="none" w:sz="0" w:space="0" w:color="auto"/>
        <w:right w:val="none" w:sz="0" w:space="0" w:color="auto"/>
      </w:divBdr>
    </w:div>
    <w:div w:id="965964183">
      <w:bodyDiv w:val="1"/>
      <w:marLeft w:val="0"/>
      <w:marRight w:val="0"/>
      <w:marTop w:val="0"/>
      <w:marBottom w:val="0"/>
      <w:divBdr>
        <w:top w:val="none" w:sz="0" w:space="0" w:color="auto"/>
        <w:left w:val="none" w:sz="0" w:space="0" w:color="auto"/>
        <w:bottom w:val="none" w:sz="0" w:space="0" w:color="auto"/>
        <w:right w:val="none" w:sz="0" w:space="0" w:color="auto"/>
      </w:divBdr>
    </w:div>
    <w:div w:id="1080520475">
      <w:bodyDiv w:val="1"/>
      <w:marLeft w:val="0"/>
      <w:marRight w:val="0"/>
      <w:marTop w:val="0"/>
      <w:marBottom w:val="0"/>
      <w:divBdr>
        <w:top w:val="none" w:sz="0" w:space="0" w:color="auto"/>
        <w:left w:val="none" w:sz="0" w:space="0" w:color="auto"/>
        <w:bottom w:val="none" w:sz="0" w:space="0" w:color="auto"/>
        <w:right w:val="none" w:sz="0" w:space="0" w:color="auto"/>
      </w:divBdr>
    </w:div>
    <w:div w:id="1266226948">
      <w:bodyDiv w:val="1"/>
      <w:marLeft w:val="0"/>
      <w:marRight w:val="0"/>
      <w:marTop w:val="0"/>
      <w:marBottom w:val="0"/>
      <w:divBdr>
        <w:top w:val="none" w:sz="0" w:space="0" w:color="auto"/>
        <w:left w:val="none" w:sz="0" w:space="0" w:color="auto"/>
        <w:bottom w:val="none" w:sz="0" w:space="0" w:color="auto"/>
        <w:right w:val="none" w:sz="0" w:space="0" w:color="auto"/>
      </w:divBdr>
    </w:div>
    <w:div w:id="1379620844">
      <w:bodyDiv w:val="1"/>
      <w:marLeft w:val="0"/>
      <w:marRight w:val="0"/>
      <w:marTop w:val="0"/>
      <w:marBottom w:val="0"/>
      <w:divBdr>
        <w:top w:val="none" w:sz="0" w:space="0" w:color="auto"/>
        <w:left w:val="none" w:sz="0" w:space="0" w:color="auto"/>
        <w:bottom w:val="none" w:sz="0" w:space="0" w:color="auto"/>
        <w:right w:val="none" w:sz="0" w:space="0" w:color="auto"/>
      </w:divBdr>
    </w:div>
    <w:div w:id="1487822660">
      <w:bodyDiv w:val="1"/>
      <w:marLeft w:val="0"/>
      <w:marRight w:val="0"/>
      <w:marTop w:val="0"/>
      <w:marBottom w:val="0"/>
      <w:divBdr>
        <w:top w:val="none" w:sz="0" w:space="0" w:color="auto"/>
        <w:left w:val="none" w:sz="0" w:space="0" w:color="auto"/>
        <w:bottom w:val="none" w:sz="0" w:space="0" w:color="auto"/>
        <w:right w:val="none" w:sz="0" w:space="0" w:color="auto"/>
      </w:divBdr>
    </w:div>
    <w:div w:id="1534030716">
      <w:bodyDiv w:val="1"/>
      <w:marLeft w:val="0"/>
      <w:marRight w:val="0"/>
      <w:marTop w:val="0"/>
      <w:marBottom w:val="0"/>
      <w:divBdr>
        <w:top w:val="none" w:sz="0" w:space="0" w:color="auto"/>
        <w:left w:val="none" w:sz="0" w:space="0" w:color="auto"/>
        <w:bottom w:val="none" w:sz="0" w:space="0" w:color="auto"/>
        <w:right w:val="none" w:sz="0" w:space="0" w:color="auto"/>
      </w:divBdr>
    </w:div>
    <w:div w:id="1659962468">
      <w:bodyDiv w:val="1"/>
      <w:marLeft w:val="0"/>
      <w:marRight w:val="0"/>
      <w:marTop w:val="0"/>
      <w:marBottom w:val="0"/>
      <w:divBdr>
        <w:top w:val="none" w:sz="0" w:space="0" w:color="auto"/>
        <w:left w:val="none" w:sz="0" w:space="0" w:color="auto"/>
        <w:bottom w:val="none" w:sz="0" w:space="0" w:color="auto"/>
        <w:right w:val="none" w:sz="0" w:space="0" w:color="auto"/>
      </w:divBdr>
    </w:div>
    <w:div w:id="1956718715">
      <w:bodyDiv w:val="1"/>
      <w:marLeft w:val="0"/>
      <w:marRight w:val="0"/>
      <w:marTop w:val="0"/>
      <w:marBottom w:val="0"/>
      <w:divBdr>
        <w:top w:val="none" w:sz="0" w:space="0" w:color="auto"/>
        <w:left w:val="none" w:sz="0" w:space="0" w:color="auto"/>
        <w:bottom w:val="none" w:sz="0" w:space="0" w:color="auto"/>
        <w:right w:val="none" w:sz="0" w:space="0" w:color="auto"/>
      </w:divBdr>
    </w:div>
    <w:div w:id="201707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ore.sescomgt.com/product-category/train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sco@sescomg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scomg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ore.sescomgt.com/product-category/trainin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17FFD-613F-4BB8-94E6-8573CA5E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3300</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Tester</dc:creator>
  <cp:lastModifiedBy>Tonya Roark</cp:lastModifiedBy>
  <cp:revision>2</cp:revision>
  <cp:lastPrinted>2026-03-26T14:19:00Z</cp:lastPrinted>
  <dcterms:created xsi:type="dcterms:W3CDTF">2026-03-26T14:21:00Z</dcterms:created>
  <dcterms:modified xsi:type="dcterms:W3CDTF">2026-03-26T14:21:00Z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for Microsoft 365</vt:lpwstr>
  </property>
  <property fmtid="{D5CDD505-2E9C-101B-9397-08002B2CF9AE}" pid="4" name="LastSaved">
    <vt:filetime>2024-05-30T00:00:00Z</vt:filetime>
  </property>
  <property fmtid="{D5CDD505-2E9C-101B-9397-08002B2CF9AE}" pid="5" name="Producer">
    <vt:lpwstr>Microsoft® Word for Microsoft 365</vt:lpwstr>
  </property>
</Properties>
</file>